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sz w:val="24"/>
          <w:szCs w:val="24"/>
          <w:lang w:val="en-GB"/>
        </w:rPr>
      </w:pPr>
    </w:p>
    <w:p>
      <w:pPr>
        <w:spacing w:after="0" w:line="240" w:lineRule="auto"/>
        <w:jc w:val="center"/>
        <w:rPr>
          <w:rFonts w:eastAsia="Times New Roman" w:cstheme="minorHAnsi"/>
          <w:b/>
          <w:sz w:val="34"/>
          <w:szCs w:val="34"/>
          <w:lang w:val="en-GB"/>
        </w:rPr>
        <w:sectPr>
          <w:type w:val="continuous"/>
          <w:pgSz w:w="12240" w:h="15840"/>
          <w:pgMar w:top="191" w:right="160" w:bottom="170" w:left="1440" w:header="0" w:footer="0" w:gutter="0"/>
          <w:cols w:equalWidth="0" w:num="2">
            <w:col w:w="5107" w:space="425"/>
            <w:col w:w="5107"/>
          </w:cols>
          <w:docGrid w:linePitch="360" w:charSpace="0"/>
        </w:sectPr>
      </w:pPr>
      <w:bookmarkStart w:id="0" w:name="_Hlk511916541"/>
    </w:p>
    <w:p>
      <w:pPr>
        <w:spacing w:after="0" w:line="240" w:lineRule="auto"/>
        <w:jc w:val="center"/>
        <w:rPr>
          <w:rFonts w:eastAsia="Times New Roman" w:cstheme="minorHAnsi"/>
          <w:b/>
          <w:sz w:val="34"/>
          <w:szCs w:val="34"/>
          <w:lang w:val="en-GB"/>
        </w:rPr>
      </w:pPr>
      <w:r>
        <w:rPr>
          <w:rFonts w:eastAsia="Times New Roman" w:cstheme="minorHAnsi"/>
          <w:b/>
          <w:sz w:val="34"/>
          <w:szCs w:val="34"/>
          <w:lang w:val="en-GB"/>
        </w:rPr>
        <w:t xml:space="preserve">Role of Carbohydrate and Dietary Fiber </w:t>
      </w:r>
      <w:bookmarkEnd w:id="0"/>
      <w:r>
        <w:rPr>
          <w:rFonts w:eastAsia="Times New Roman" w:cstheme="minorHAnsi"/>
          <w:b/>
          <w:sz w:val="34"/>
          <w:szCs w:val="34"/>
          <w:lang w:val="en-GB"/>
        </w:rPr>
        <w:t>for</w:t>
      </w:r>
      <w:bookmarkStart w:id="1" w:name="_Hlk510965332"/>
      <w:r>
        <w:rPr>
          <w:rFonts w:eastAsia="Times New Roman" w:cstheme="minorHAnsi"/>
          <w:b/>
          <w:sz w:val="34"/>
          <w:szCs w:val="34"/>
          <w:lang w:val="en-GB"/>
        </w:rPr>
        <w:t xml:space="preserve"> Soccer Players</w:t>
      </w:r>
    </w:p>
    <w:bookmarkEnd w:id="1"/>
    <w:p>
      <w:pPr>
        <w:spacing w:after="0" w:line="240" w:lineRule="auto"/>
        <w:rPr>
          <w:rFonts w:ascii="Times New Roman" w:hAnsi="Times New Roman" w:eastAsia="Times New Roman" w:cs="Times New Roman"/>
          <w:b/>
          <w:sz w:val="34"/>
          <w:szCs w:val="34"/>
          <w:lang w:val="en-GB"/>
        </w:rPr>
      </w:pPr>
    </w:p>
    <w:p>
      <w:pPr>
        <w:spacing w:after="0" w:line="240" w:lineRule="auto"/>
        <w:rPr>
          <w:rFonts w:ascii="Times New Roman" w:hAnsi="Times New Roman" w:eastAsia="Times New Roman" w:cs="Times New Roman"/>
          <w:b/>
          <w:sz w:val="24"/>
          <w:szCs w:val="24"/>
          <w:lang w:val="en-GB"/>
        </w:rPr>
      </w:pPr>
    </w:p>
    <w:p>
      <w:pPr>
        <w:spacing w:after="0" w:line="240" w:lineRule="auto"/>
        <w:rPr>
          <w:rFonts w:ascii="Times New Roman" w:hAnsi="Times New Roman" w:eastAsia="Times New Roman" w:cs="Times New Roman"/>
          <w:b/>
          <w:sz w:val="24"/>
          <w:szCs w:val="24"/>
          <w:lang w:val="en-GB"/>
        </w:rPr>
      </w:pPr>
    </w:p>
    <w:p>
      <w:pPr>
        <w:spacing w:after="0" w:line="240" w:lineRule="auto"/>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lang w:val="en-GB"/>
        </w:rPr>
        <w:t xml:space="preserve">MANUSCRIPT TITLE: </w:t>
      </w:r>
      <w:r>
        <w:rPr>
          <w:rFonts w:ascii="Times New Roman" w:hAnsi="Times New Roman" w:eastAsia="Times New Roman" w:cs="Times New Roman"/>
          <w:sz w:val="24"/>
          <w:szCs w:val="24"/>
          <w:lang w:val="en-GB"/>
        </w:rPr>
        <w:t>Role of Carbohydrate and Dietary Fiber for Soccer Players</w:t>
      </w: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lang w:val="en-GB"/>
        </w:rPr>
        <w:t>Type</w:t>
      </w:r>
      <w:r>
        <w:rPr>
          <w:rFonts w:ascii="Times New Roman" w:hAnsi="Times New Roman" w:eastAsia="Times New Roman" w:cs="Times New Roman"/>
          <w:sz w:val="24"/>
          <w:szCs w:val="24"/>
          <w:lang w:val="en-GB"/>
        </w:rPr>
        <w:tab/>
      </w:r>
      <w:r>
        <w:rPr>
          <w:rFonts w:ascii="Times New Roman" w:hAnsi="Times New Roman" w:eastAsia="Times New Roman" w:cs="Times New Roman"/>
          <w:sz w:val="24"/>
          <w:szCs w:val="24"/>
          <w:lang w:val="en-GB"/>
        </w:rPr>
        <w:t>: Review Article</w:t>
      </w: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b/>
          <w:sz w:val="24"/>
          <w:szCs w:val="24"/>
          <w:lang w:val="en-GB"/>
        </w:rPr>
      </w:pPr>
    </w:p>
    <w:p>
      <w:pPr>
        <w:spacing w:after="0" w:line="240" w:lineRule="auto"/>
        <w:ind w:left="990" w:hanging="990"/>
        <w:rPr>
          <w:rFonts w:ascii="Times New Roman" w:hAnsi="Times New Roman" w:eastAsia="Times New Roman" w:cs="Times New Roman"/>
          <w:sz w:val="24"/>
          <w:szCs w:val="24"/>
          <w:lang w:val="es-ES" w:eastAsia="en-GB"/>
        </w:rPr>
      </w:pPr>
      <w:r>
        <w:rPr>
          <w:rFonts w:ascii="Times New Roman" w:hAnsi="Times New Roman" w:eastAsia="Times New Roman" w:cs="Times New Roman"/>
          <w:b/>
          <w:sz w:val="24"/>
          <w:szCs w:val="24"/>
          <w:lang w:val="es-ES" w:eastAsia="en-GB"/>
        </w:rPr>
        <w:t>Authors:</w:t>
      </w:r>
      <w:r>
        <w:rPr>
          <w:rFonts w:ascii="Times New Roman" w:hAnsi="Times New Roman" w:eastAsia="Times New Roman" w:cs="Times New Roman"/>
          <w:sz w:val="24"/>
          <w:szCs w:val="24"/>
          <w:lang w:val="es-ES" w:eastAsia="en-GB"/>
        </w:rPr>
        <w:t xml:space="preserve"> Gaung Perwira Yustika</w:t>
      </w:r>
    </w:p>
    <w:p>
      <w:pPr>
        <w:spacing w:after="0" w:line="240" w:lineRule="auto"/>
        <w:ind w:left="990" w:hanging="990"/>
        <w:rPr>
          <w:rFonts w:ascii="Times New Roman" w:hAnsi="Times New Roman" w:eastAsia="Times New Roman" w:cs="Times New Roman"/>
          <w:sz w:val="24"/>
          <w:szCs w:val="24"/>
          <w:lang w:val="en-GB" w:eastAsia="en-GB"/>
        </w:rPr>
      </w:pPr>
    </w:p>
    <w:p>
      <w:pPr>
        <w:spacing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lang w:val="en-GB"/>
        </w:rPr>
        <w:t>DEPARTMENT AND INSTITUTION</w:t>
      </w:r>
      <w:r>
        <w:rPr>
          <w:rFonts w:ascii="Times New Roman" w:hAnsi="Times New Roman" w:eastAsia="Times New Roman" w:cs="Times New Roman"/>
          <w:sz w:val="24"/>
          <w:szCs w:val="24"/>
          <w:lang w:val="en-GB"/>
        </w:rPr>
        <w:t xml:space="preserve"> : Nursing Program, Sekolah Tinggi Ilmu Kesehatan Surabaya,  St. </w:t>
      </w:r>
      <w:r>
        <w:rPr>
          <w:rFonts w:ascii="Times New Roman" w:hAnsi="Times New Roman" w:eastAsia="Times New Roman" w:cs="Times New Roman"/>
          <w:sz w:val="24"/>
          <w:szCs w:val="24"/>
        </w:rPr>
        <w:t>Medokan Semampir Indah 27, Medokan Semampir, Sukolilo, Surabaya , East Java 60119</w:t>
      </w:r>
      <w:r>
        <w:rPr>
          <w:rFonts w:ascii="Times New Roman" w:hAnsi="Times New Roman" w:eastAsia="Times New Roman" w:cs="Times New Roman"/>
          <w:sz w:val="24"/>
          <w:szCs w:val="24"/>
          <w:lang w:val="en-GB"/>
        </w:rPr>
        <w:t>, Indonesia</w:t>
      </w: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lang w:val="en-GB"/>
        </w:rPr>
        <w:t>Corresponding Author</w:t>
      </w:r>
      <w:r>
        <w:rPr>
          <w:rFonts w:ascii="Times New Roman" w:hAnsi="Times New Roman" w:eastAsia="Times New Roman" w:cs="Times New Roman"/>
          <w:sz w:val="24"/>
          <w:szCs w:val="24"/>
          <w:lang w:val="en-GB"/>
        </w:rPr>
        <w:t>:</w:t>
      </w:r>
    </w:p>
    <w:p>
      <w:pPr>
        <w:autoSpaceDE w:val="0"/>
        <w:autoSpaceDN w:val="0"/>
        <w:adjustRightInd w:val="0"/>
        <w:spacing w:after="0" w:line="240" w:lineRule="auto"/>
        <w:ind w:left="2124"/>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rPr>
        <w:t xml:space="preserve"> </w:t>
      </w:r>
      <w:bookmarkStart w:id="2" w:name="_Hlk512253666"/>
      <w:r>
        <w:rPr>
          <w:rFonts w:ascii="Times New Roman" w:hAnsi="Times New Roman" w:eastAsia="Times New Roman" w:cs="Times New Roman"/>
          <w:sz w:val="24"/>
          <w:szCs w:val="24"/>
        </w:rPr>
        <w:t>Gaung Perwira Yustika</w:t>
      </w:r>
    </w:p>
    <w:p>
      <w:pPr>
        <w:autoSpaceDE w:val="0"/>
        <w:autoSpaceDN w:val="0"/>
        <w:adjustRightInd w:val="0"/>
        <w:spacing w:after="0" w:line="240" w:lineRule="auto"/>
        <w:ind w:left="2124"/>
        <w:rPr>
          <w:rFonts w:ascii="Times New Roman" w:hAnsi="Times New Roman" w:eastAsia="Times New Roman" w:cs="Times New Roman"/>
          <w:b/>
          <w:sz w:val="24"/>
          <w:szCs w:val="24"/>
          <w:lang w:val="en-GB"/>
        </w:rPr>
      </w:pP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b/>
          <w:sz w:val="24"/>
          <w:szCs w:val="24"/>
          <w:lang w:val="en-GB"/>
        </w:rPr>
        <w:t>Nursing Program STIKES Surabaya</w:t>
      </w:r>
    </w:p>
    <w:p>
      <w:pPr>
        <w:autoSpaceDE w:val="0"/>
        <w:autoSpaceDN w:val="0"/>
        <w:adjustRightInd w:val="0"/>
        <w:spacing w:after="0" w:line="240" w:lineRule="auto"/>
        <w:ind w:left="2124"/>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GB"/>
        </w:rPr>
        <w:t>tel: 089688165610</w:t>
      </w:r>
    </w:p>
    <w:p>
      <w:pPr>
        <w:autoSpaceDE w:val="0"/>
        <w:autoSpaceDN w:val="0"/>
        <w:adjustRightInd w:val="0"/>
        <w:spacing w:after="0" w:line="240" w:lineRule="auto"/>
        <w:ind w:left="2124"/>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e-mail: gaung.perwira.yustika-2016@fk.unair.ac.id</w:t>
      </w:r>
    </w:p>
    <w:bookmarkEnd w:id="2"/>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rPr>
          <w:rFonts w:ascii="Times New Roman" w:hAnsi="Times New Roman" w:eastAsia="Times New Roman" w:cs="Times New Roman"/>
          <w:sz w:val="24"/>
          <w:szCs w:val="24"/>
          <w:lang w:val="en-GB"/>
        </w:rPr>
      </w:pPr>
    </w:p>
    <w:p>
      <w:pPr>
        <w:autoSpaceDE w:val="0"/>
        <w:autoSpaceDN w:val="0"/>
        <w:adjustRightInd w:val="0"/>
        <w:spacing w:after="0" w:line="240" w:lineRule="auto"/>
        <w:ind w:left="2124"/>
        <w:rPr>
          <w:rFonts w:ascii="Times New Roman" w:hAnsi="Times New Roman" w:eastAsia="Times New Roman" w:cs="Times New Roman"/>
          <w:sz w:val="24"/>
          <w:szCs w:val="24"/>
          <w:lang w:val="en-GB"/>
        </w:rPr>
      </w:pPr>
    </w:p>
    <w:p>
      <w:pPr>
        <w:spacing w:after="0" w:line="240" w:lineRule="auto"/>
        <w:jc w:val="center"/>
        <w:rPr>
          <w:rFonts w:eastAsia="Times New Roman" w:cstheme="minorHAnsi"/>
          <w:b/>
          <w:sz w:val="34"/>
          <w:szCs w:val="34"/>
          <w:lang w:val="en-GB"/>
        </w:rPr>
      </w:pPr>
      <w:bookmarkStart w:id="3" w:name="_Hlk512253756"/>
      <w:r>
        <w:rPr>
          <w:rFonts w:eastAsia="Times New Roman" w:cstheme="minorHAnsi"/>
          <w:b/>
          <w:sz w:val="34"/>
          <w:szCs w:val="34"/>
          <w:lang w:val="en-GB"/>
        </w:rPr>
        <w:t>Peranan Karbohidrat dan Serat Pangan untuk Pemain Sepakbola</w:t>
      </w:r>
    </w:p>
    <w:bookmarkEnd w:id="3"/>
    <w:p>
      <w:pPr>
        <w:spacing w:after="0" w:line="240" w:lineRule="auto"/>
        <w:jc w:val="center"/>
        <w:rPr>
          <w:rFonts w:ascii="Times New Roman" w:hAnsi="Times New Roman" w:eastAsia="Times New Roman" w:cs="Times New Roman"/>
          <w:b/>
          <w:sz w:val="24"/>
          <w:szCs w:val="24"/>
          <w:lang w:val="en-GB"/>
        </w:rPr>
      </w:pPr>
    </w:p>
    <w:p>
      <w:pPr>
        <w:spacing w:after="0" w:line="240" w:lineRule="auto"/>
        <w:jc w:val="center"/>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Gaung Perwira Yustika*</w:t>
      </w:r>
    </w:p>
    <w:p>
      <w:pPr>
        <w:spacing w:after="0" w:line="240" w:lineRule="auto"/>
        <w:jc w:val="center"/>
        <w:rPr>
          <w:rFonts w:ascii="Times New Roman" w:hAnsi="Times New Roman" w:eastAsia="Times New Roman" w:cs="Times New Roman"/>
          <w:sz w:val="24"/>
          <w:szCs w:val="24"/>
          <w:lang w:val="en-GB"/>
        </w:rPr>
      </w:pPr>
      <w:bookmarkStart w:id="4" w:name="_Hlk512253633"/>
      <w:r>
        <w:rPr>
          <w:rFonts w:ascii="Times New Roman" w:hAnsi="Times New Roman" w:eastAsia="Times New Roman" w:cs="Times New Roman"/>
          <w:sz w:val="24"/>
          <w:szCs w:val="24"/>
          <w:lang w:val="en-GB"/>
        </w:rPr>
        <w:t>Program Studi S1 Keperawatan Sekolah Tinggi Ilmu Kesehatan Surabaya</w:t>
      </w:r>
    </w:p>
    <w:p>
      <w:pPr>
        <w:spacing w:after="0" w:line="240" w:lineRule="auto"/>
        <w:jc w:val="center"/>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Surabaya-Jawa Timur 60119, Indonesia</w:t>
      </w:r>
      <w:bookmarkEnd w:id="4"/>
    </w:p>
    <w:p>
      <w:pPr>
        <w:spacing w:after="0" w:line="240" w:lineRule="auto"/>
        <w:jc w:val="center"/>
        <w:rPr>
          <w:rFonts w:ascii="Times New Roman" w:hAnsi="Times New Roman" w:eastAsia="Times New Roman" w:cs="Times New Roman"/>
          <w:sz w:val="24"/>
          <w:szCs w:val="24"/>
          <w:lang w:val="en-GB"/>
        </w:rPr>
      </w:pPr>
      <w:r>
        <w:rPr>
          <w:rFonts w:ascii="Times New Roman" w:hAnsi="Times New Roman" w:eastAsia="Times New Roman" w:cs="Times New Roman"/>
          <w:i/>
          <w:sz w:val="24"/>
          <w:szCs w:val="24"/>
          <w:lang w:val="en-GB"/>
        </w:rPr>
        <w:t>Corresponding author*</w:t>
      </w:r>
      <w:r>
        <w:rPr>
          <w:rFonts w:ascii="Times New Roman" w:hAnsi="Times New Roman" w:eastAsia="Times New Roman" w:cs="Times New Roman"/>
          <w:sz w:val="24"/>
          <w:szCs w:val="24"/>
          <w:lang w:val="en-GB"/>
        </w:rPr>
        <w:t>: gaung.perwira.yustika-2016@fk.unair.ac.id</w:t>
      </w:r>
    </w:p>
    <w:p>
      <w:pPr>
        <w:spacing w:after="0" w:line="240" w:lineRule="auto"/>
        <w:jc w:val="center"/>
        <w:rPr>
          <w:rFonts w:ascii="Times New Roman" w:hAnsi="Times New Roman" w:eastAsia="Times New Roman" w:cs="Times New Roman"/>
          <w:sz w:val="24"/>
          <w:szCs w:val="24"/>
          <w:lang w:val="en-GB"/>
        </w:rPr>
      </w:pPr>
    </w:p>
    <w:p>
      <w:pPr>
        <w:spacing w:after="0" w:line="240" w:lineRule="auto"/>
        <w:jc w:val="center"/>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Abstract</w:t>
      </w:r>
    </w:p>
    <w:p>
      <w:pPr>
        <w:spacing w:after="0" w:line="240" w:lineRule="auto"/>
        <w:jc w:val="center"/>
        <w:rPr>
          <w:rFonts w:ascii="Times New Roman" w:hAnsi="Times New Roman" w:eastAsia="Times New Roman" w:cs="Times New Roman"/>
          <w:b/>
          <w:sz w:val="24"/>
          <w:szCs w:val="24"/>
          <w:lang w:val="en-GB"/>
        </w:rPr>
      </w:pPr>
    </w:p>
    <w:p>
      <w:pPr>
        <w:spacing w:after="0" w:line="240" w:lineRule="auto"/>
        <w:ind w:firstLine="720"/>
        <w:jc w:val="both"/>
        <w:rPr>
          <w:rFonts w:ascii="Times New Roman" w:hAnsi="Times New Roman" w:eastAsia="Times New Roman" w:cs="Times New Roman"/>
          <w:i/>
          <w:sz w:val="24"/>
          <w:szCs w:val="24"/>
          <w:lang w:val="en-GB"/>
        </w:rPr>
      </w:pPr>
      <w:bookmarkStart w:id="5" w:name="_Hlk512253773"/>
      <w:r>
        <w:rPr>
          <w:rFonts w:ascii="Times New Roman" w:hAnsi="Times New Roman" w:eastAsia="Times New Roman" w:cs="Times New Roman"/>
          <w:i/>
          <w:sz w:val="24"/>
          <w:szCs w:val="24"/>
          <w:lang w:val="en-GB"/>
        </w:rPr>
        <w:t>Soccer is the most well known and a phenomenal sport in the world, with around 270 million players registered to this game. Soccer has already attracted attention either sport scientist and government from many countries to promote the benefit of active physical activity and also maintained people’s health, including the minorities and poorest.. Furthermore, this sport can be used to support the health public program in order to prevent chronic diseases due to cause lack of physical activity.</w:t>
      </w:r>
    </w:p>
    <w:p>
      <w:pPr>
        <w:spacing w:after="0" w:line="240" w:lineRule="auto"/>
        <w:ind w:firstLine="720"/>
        <w:jc w:val="both"/>
        <w:rPr>
          <w:rFonts w:ascii="Times New Roman" w:hAnsi="Times New Roman" w:eastAsia="Times New Roman" w:cs="Times New Roman"/>
          <w:i/>
          <w:sz w:val="24"/>
          <w:szCs w:val="24"/>
          <w:lang w:val="en-GB"/>
        </w:rPr>
      </w:pPr>
      <w:r>
        <w:rPr>
          <w:rFonts w:ascii="Times New Roman" w:hAnsi="Times New Roman" w:eastAsia="Times New Roman" w:cs="Times New Roman"/>
          <w:i/>
          <w:sz w:val="24"/>
          <w:szCs w:val="24"/>
        </w:rPr>
        <w:t xml:space="preserve">Quality food choices and adequate nutrition nutrient are important for supporting training program and enhancing the physical performance of professional athletes. Macronutrients provide the metabolic substrates necessary for producing the chemical energy required for skeletal muscle contraction and cardiovascular physiology, while the micronutrients help the metabolic reactions involved in energy production and gas transport in the circulation. </w:t>
      </w:r>
      <w:bookmarkStart w:id="6" w:name="_Hlk511562310"/>
      <w:r>
        <w:rPr>
          <w:rFonts w:ascii="Times New Roman" w:hAnsi="Times New Roman" w:eastAsia="Times New Roman" w:cs="Times New Roman"/>
          <w:i/>
          <w:sz w:val="24"/>
          <w:szCs w:val="24"/>
        </w:rPr>
        <w:t>Soccer is a sport requiring for both aerobic dominant and also anaerobic energy. It needs the players to exercise repetitively at high intensities using large muscle groups for periods of several seconds to several minutes for the full match (90 min) plus added time. Metabolically, athletes depend to a certain extent on their endogenous glycogen stores in the liver and skeletal muscles. Besides from genetic factor, talent and the effort of training, it has been acknowledged that no single factor plays a bigger role in maximaxing physical performance than dietary plan.</w:t>
      </w:r>
    </w:p>
    <w:bookmarkEnd w:id="6"/>
    <w:p>
      <w:pPr>
        <w:spacing w:after="0" w:line="240" w:lineRule="auto"/>
        <w:ind w:firstLine="720"/>
        <w:jc w:val="both"/>
        <w:rPr>
          <w:rFonts w:ascii="Times New Roman" w:hAnsi="Times New Roman" w:eastAsia="Times New Roman" w:cs="Times New Roman"/>
          <w:i/>
          <w:sz w:val="24"/>
          <w:szCs w:val="24"/>
          <w:lang w:val="en-GB"/>
        </w:rPr>
      </w:pPr>
      <w:r>
        <w:rPr>
          <w:rFonts w:ascii="Times New Roman" w:hAnsi="Times New Roman" w:eastAsia="Times New Roman" w:cs="Times New Roman"/>
          <w:i/>
          <w:sz w:val="24"/>
          <w:szCs w:val="24"/>
          <w:lang w:val="en-GB"/>
        </w:rPr>
        <w:t>This Review article was made to show the important role of carbohydrate and dietary fiber in the aspect of soccer game, resumed from scientific articles especially from Europe/USA where soccer was more advanced there. The writer hoped that this article written and published at Indonesia can be used to developed sport science and sport medicine for his beloved country.</w:t>
      </w:r>
    </w:p>
    <w:bookmarkEnd w:id="5"/>
    <w:p>
      <w:pPr>
        <w:spacing w:after="0" w:line="240" w:lineRule="auto"/>
        <w:ind w:firstLine="720"/>
        <w:jc w:val="both"/>
        <w:rPr>
          <w:rFonts w:ascii="Times New Roman" w:hAnsi="Times New Roman" w:eastAsia="Times New Roman" w:cs="Times New Roman"/>
          <w:i/>
          <w:sz w:val="24"/>
          <w:szCs w:val="24"/>
          <w:lang w:val="en-GB"/>
        </w:rPr>
      </w:pPr>
    </w:p>
    <w:p>
      <w:pPr>
        <w:spacing w:after="0" w:line="240" w:lineRule="auto"/>
        <w:jc w:val="both"/>
        <w:rPr>
          <w:rFonts w:ascii="Times New Roman" w:hAnsi="Times New Roman" w:eastAsia="Times New Roman" w:cs="Times New Roman"/>
          <w:i/>
          <w:sz w:val="24"/>
          <w:szCs w:val="24"/>
          <w:lang w:val="en-GB"/>
        </w:rPr>
      </w:pPr>
      <w:r>
        <w:rPr>
          <w:rFonts w:ascii="Times New Roman" w:hAnsi="Times New Roman" w:eastAsia="Times New Roman" w:cs="Times New Roman"/>
          <w:b/>
          <w:i/>
          <w:sz w:val="24"/>
          <w:szCs w:val="24"/>
          <w:lang w:val="en-GB"/>
        </w:rPr>
        <w:t>Keywords :</w:t>
      </w:r>
      <w:r>
        <w:rPr>
          <w:rFonts w:ascii="Times New Roman" w:hAnsi="Times New Roman" w:eastAsia="Times New Roman" w:cs="Times New Roman"/>
          <w:i/>
          <w:sz w:val="24"/>
          <w:szCs w:val="24"/>
          <w:lang w:val="en-GB"/>
        </w:rPr>
        <w:t xml:space="preserve"> </w:t>
      </w:r>
      <w:bookmarkStart w:id="7" w:name="_Hlk512253793"/>
      <w:r>
        <w:rPr>
          <w:rFonts w:ascii="Times New Roman" w:hAnsi="Times New Roman" w:eastAsia="Times New Roman" w:cs="Times New Roman"/>
          <w:i/>
          <w:sz w:val="24"/>
          <w:szCs w:val="24"/>
          <w:lang w:val="en-GB"/>
        </w:rPr>
        <w:t>soccer , physiology, physical, energy , nutrition, sport science.</w:t>
      </w:r>
      <w:bookmarkEnd w:id="7"/>
    </w:p>
    <w:p>
      <w:pPr>
        <w:spacing w:after="0" w:line="240" w:lineRule="auto"/>
        <w:jc w:val="both"/>
        <w:rPr>
          <w:rFonts w:ascii="Times New Roman" w:hAnsi="Times New Roman" w:eastAsia="Times New Roman" w:cs="Times New Roman"/>
          <w:i/>
          <w:sz w:val="24"/>
          <w:szCs w:val="24"/>
          <w:lang w:val="en-GB"/>
        </w:rPr>
      </w:pPr>
    </w:p>
    <w:p>
      <w:pPr>
        <w:spacing w:after="0" w:line="240" w:lineRule="auto"/>
        <w:jc w:val="center"/>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Abstrak</w:t>
      </w:r>
    </w:p>
    <w:p>
      <w:pPr>
        <w:spacing w:after="0" w:line="240" w:lineRule="auto"/>
        <w:jc w:val="center"/>
        <w:rPr>
          <w:rFonts w:ascii="Times New Roman" w:hAnsi="Times New Roman" w:eastAsia="Times New Roman" w:cs="Times New Roman"/>
          <w:b/>
          <w:sz w:val="24"/>
          <w:szCs w:val="24"/>
          <w:lang w:val="en-GB"/>
        </w:rPr>
      </w:pPr>
    </w:p>
    <w:p>
      <w:pPr>
        <w:spacing w:after="0" w:line="240" w:lineRule="auto"/>
        <w:ind w:firstLine="720"/>
        <w:jc w:val="both"/>
        <w:rPr>
          <w:rFonts w:ascii="Times New Roman" w:hAnsi="Times New Roman" w:eastAsia="Times New Roman" w:cs="Times New Roman"/>
          <w:sz w:val="24"/>
          <w:szCs w:val="24"/>
          <w:lang w:val="en-GB"/>
        </w:rPr>
      </w:pPr>
      <w:bookmarkStart w:id="8" w:name="_Hlk512253812"/>
      <w:bookmarkStart w:id="9" w:name="_Hlk511562733"/>
      <w:r>
        <w:rPr>
          <w:rFonts w:ascii="Times New Roman" w:hAnsi="Times New Roman" w:eastAsia="Times New Roman" w:cs="Times New Roman"/>
          <w:sz w:val="24"/>
          <w:szCs w:val="24"/>
          <w:lang w:val="en-GB"/>
        </w:rPr>
        <w:t>Sepakbola adalah olahraga paling populer dan fenomenal di dunia dengan sekitar 270 juta praktisi sepakbola yang tersebar di seluruh penjuru dunia. Sepakbola menarik perhatian para ilmuwan olahraga dan pemerintah dari negara-negara di seluruh dunia untuk mempromosikan pentingnya beraktivitas fisik dan menjaga kesehatan baik di seluruh kalangan masyarakat, bahkan untuk kaum minoritas dan orang miskin.</w:t>
      </w:r>
      <w:bookmarkStart w:id="10" w:name="_Hlk511547661"/>
      <w:r>
        <w:rPr>
          <w:rFonts w:ascii="Times New Roman" w:hAnsi="Times New Roman" w:eastAsia="Times New Roman" w:cs="Times New Roman"/>
          <w:sz w:val="24"/>
          <w:szCs w:val="24"/>
          <w:lang w:val="en-GB"/>
        </w:rPr>
        <w:t>.</w:t>
      </w:r>
      <w:bookmarkEnd w:id="10"/>
      <w:r>
        <w:rPr>
          <w:rFonts w:ascii="Times New Roman" w:hAnsi="Times New Roman" w:eastAsia="Times New Roman" w:cs="Times New Roman"/>
          <w:sz w:val="24"/>
          <w:szCs w:val="24"/>
          <w:lang w:val="en-GB"/>
        </w:rPr>
        <w:t xml:space="preserve"> Selain itu olahraga ini juga dapat dipakai untuk mempromosikan kampanye kesehatan terkait pencegahan penyakit kronis yang disebabkan oleh minimnya aktivitas fisik </w:t>
      </w:r>
      <w:bookmarkStart w:id="11" w:name="_Hlk511547801"/>
      <w:r>
        <w:rPr>
          <w:rFonts w:ascii="Times New Roman" w:hAnsi="Times New Roman" w:eastAsia="Times New Roman" w:cs="Times New Roman"/>
          <w:sz w:val="24"/>
          <w:szCs w:val="24"/>
          <w:lang w:val="en-GB"/>
        </w:rPr>
        <w:t xml:space="preserve">di samping pola makan yang tidak teratur dan sehat di dalam masyarakat. </w:t>
      </w:r>
      <w:bookmarkEnd w:id="11"/>
      <w:bookmarkStart w:id="12" w:name="_Hlk510954017"/>
      <w:r>
        <w:rPr>
          <w:rFonts w:ascii="Times New Roman" w:hAnsi="Times New Roman" w:eastAsia="Times New Roman" w:cs="Times New Roman"/>
          <w:sz w:val="24"/>
          <w:szCs w:val="24"/>
          <w:lang w:val="en-GB"/>
        </w:rPr>
        <w:t xml:space="preserve"> </w:t>
      </w:r>
      <w:bookmarkEnd w:id="12"/>
    </w:p>
    <w:p>
      <w:pPr>
        <w:spacing w:after="0" w:line="240" w:lineRule="auto"/>
        <w:ind w:firstLine="720"/>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Oleh karena pentingnya aspek fisik dalam permainan sepakbola, pemilihan makanan yang sehat dan nutrisi yang berkualitas sangat menunjang di dalam program latihan dan pembentukan performa fisik dari atlet sepakbola profesional</w:t>
      </w:r>
      <w:bookmarkStart w:id="13" w:name="_Hlk511596399"/>
      <w:r>
        <w:rPr>
          <w:rFonts w:ascii="Times New Roman" w:hAnsi="Times New Roman" w:eastAsia="Times New Roman" w:cs="Times New Roman"/>
          <w:sz w:val="24"/>
          <w:szCs w:val="24"/>
          <w:lang w:val="en-GB"/>
        </w:rPr>
        <w:t xml:space="preserve">. </w:t>
      </w:r>
      <w:bookmarkEnd w:id="13"/>
      <w:r>
        <w:rPr>
          <w:rFonts w:ascii="Times New Roman" w:hAnsi="Times New Roman" w:eastAsia="Times New Roman" w:cs="Times New Roman"/>
          <w:sz w:val="24"/>
          <w:szCs w:val="24"/>
          <w:lang w:val="en-GB"/>
        </w:rPr>
        <w:t>Makronutrien menyediakan substrat metabolic yang penting di dalam penyediaan energi yang dibutuhkan untuk memproduksi energi kimia untuk kontraksi otot skeletal dan kebutuhan kerja kardiovaskular, sedangkan makronutrien membantu reaksi metabolisme yang melibatkan produksi energi dan transportasi gas di dalam sistem sirkulasi</w:t>
      </w:r>
      <w:bookmarkStart w:id="14" w:name="_Hlk511596415"/>
      <w:r>
        <w:rPr>
          <w:rFonts w:ascii="Times New Roman" w:hAnsi="Times New Roman" w:eastAsia="Times New Roman" w:cs="Times New Roman"/>
          <w:sz w:val="24"/>
          <w:szCs w:val="24"/>
          <w:lang w:val="en-GB"/>
        </w:rPr>
        <w:t xml:space="preserve">. </w:t>
      </w:r>
      <w:bookmarkEnd w:id="14"/>
      <w:r>
        <w:rPr>
          <w:rFonts w:ascii="Times New Roman" w:hAnsi="Times New Roman" w:eastAsia="Times New Roman" w:cs="Times New Roman"/>
          <w:sz w:val="24"/>
          <w:szCs w:val="24"/>
          <w:lang w:val="en-GB"/>
        </w:rPr>
        <w:t>Sepakbola adalah sebuah olahraga yang membutuhkan kedua system metabolisme aerobic maupun anaerobic. Pemain membutuhkan latihan yang berulang pada intensitas yang tinggi menggunakan kelompok otot yang besar dalam periode waktu beberapa detik hingga hitungan menit di dalam satu pertandingan penuh (90 menit) ditambah waktu tambahan. Secara metabolisme, atlet sepakbola bergantung terhadap cadangan glikogen yang tersimpan di dalam hati dan otot rangka. Di samping faktor genetik, talenta dan usaha dalam menjalankan latihan, telah diketahui bahwa tidak ada faktor yang lebih besar untuk memaksimalkan performa fisik pemain dibandingkan dengan penyusunan diet makan untuk pemain</w:t>
      </w:r>
      <w:bookmarkStart w:id="15" w:name="_Hlk511596465"/>
      <w:r>
        <w:rPr>
          <w:rFonts w:ascii="Times New Roman" w:hAnsi="Times New Roman" w:eastAsia="Times New Roman" w:cs="Times New Roman"/>
          <w:sz w:val="24"/>
          <w:szCs w:val="24"/>
          <w:lang w:val="en-GB"/>
        </w:rPr>
        <w:t>.</w:t>
      </w:r>
      <w:bookmarkEnd w:id="15"/>
    </w:p>
    <w:p>
      <w:pPr>
        <w:spacing w:after="0" w:line="24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ab/>
      </w:r>
      <w:bookmarkStart w:id="16" w:name="_Hlk511597307"/>
      <w:r>
        <w:rPr>
          <w:rFonts w:ascii="Times New Roman" w:hAnsi="Times New Roman" w:eastAsia="Times New Roman" w:cs="Times New Roman"/>
          <w:sz w:val="24"/>
          <w:szCs w:val="24"/>
          <w:lang w:val="en-GB"/>
        </w:rPr>
        <w:t>Artikel literature review ini menyajikan pengetahuan seputar peranan dan pentingnya nutrisi karbohidrat dan serat pangan untuk kebutuhan sepakbola, yang diresume dari artikel-artikel ilmiah terbaru sepakbola berbagai belahan dunia terutama negara yang sepakbolanya sudah maju (mostly from Europe/USA). Informasi yang disajikan diharapkan dapat berguna untuk perkembangan prestasi dan ilmu dari sisi sport nutrition untuk sepakbola di Indonesia yang sedang (selalu) terpuruk di kancah persepakbolaan dunia. Penyajian artikel ditujukan untuk pemain maupun pelatih sepakbola Indonesia dan pihak terkait sehingga pemahaman khususnya dari aspek sains olahraga</w:t>
      </w:r>
      <w:r>
        <w:rPr>
          <w:rFonts w:ascii="Times New Roman" w:hAnsi="Times New Roman" w:eastAsia="Times New Roman" w:cs="Times New Roman"/>
          <w:i/>
          <w:sz w:val="24"/>
          <w:szCs w:val="24"/>
          <w:lang w:val="en-GB"/>
        </w:rPr>
        <w:t xml:space="preserve"> </w:t>
      </w:r>
      <w:r>
        <w:rPr>
          <w:rFonts w:ascii="Times New Roman" w:hAnsi="Times New Roman" w:eastAsia="Times New Roman" w:cs="Times New Roman"/>
          <w:sz w:val="24"/>
          <w:szCs w:val="24"/>
          <w:lang w:val="en-GB"/>
        </w:rPr>
        <w:t>dapat lebih maju di negara tercinta ini</w:t>
      </w:r>
      <w:bookmarkEnd w:id="16"/>
      <w:r>
        <w:rPr>
          <w:rFonts w:ascii="Times New Roman" w:hAnsi="Times New Roman" w:eastAsia="Times New Roman" w:cs="Times New Roman"/>
          <w:sz w:val="24"/>
          <w:szCs w:val="24"/>
          <w:lang w:val="en-GB"/>
        </w:rPr>
        <w:t>.</w:t>
      </w:r>
    </w:p>
    <w:bookmarkEnd w:id="8"/>
    <w:p>
      <w:pPr>
        <w:spacing w:after="0" w:line="240" w:lineRule="auto"/>
        <w:jc w:val="both"/>
        <w:rPr>
          <w:rFonts w:ascii="Times New Roman" w:hAnsi="Times New Roman" w:eastAsia="Times New Roman" w:cs="Times New Roman"/>
          <w:sz w:val="24"/>
          <w:szCs w:val="24"/>
          <w:lang w:val="en-GB"/>
        </w:rPr>
      </w:pPr>
    </w:p>
    <w:bookmarkEnd w:id="9"/>
    <w:p>
      <w:pPr>
        <w:spacing w:after="0" w:line="24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lang w:val="en-GB"/>
        </w:rPr>
        <w:t>Kata kunci</w:t>
      </w:r>
      <w:r>
        <w:rPr>
          <w:rFonts w:ascii="Times New Roman" w:hAnsi="Times New Roman" w:eastAsia="Times New Roman" w:cs="Times New Roman"/>
          <w:sz w:val="24"/>
          <w:szCs w:val="24"/>
          <w:lang w:val="en-GB"/>
        </w:rPr>
        <w:t xml:space="preserve">: </w:t>
      </w:r>
      <w:bookmarkStart w:id="17" w:name="_Hlk512253846"/>
      <w:r>
        <w:rPr>
          <w:rFonts w:ascii="Times New Roman" w:hAnsi="Times New Roman" w:eastAsia="Times New Roman" w:cs="Times New Roman"/>
          <w:sz w:val="24"/>
          <w:szCs w:val="24"/>
          <w:lang w:val="en-GB"/>
        </w:rPr>
        <w:t>sepakbola, fisiologi, fisik, energi, nutrisi, sains olahraga.</w:t>
      </w:r>
    </w:p>
    <w:p>
      <w:pPr>
        <w:spacing w:after="0" w:line="240" w:lineRule="auto"/>
        <w:jc w:val="both"/>
        <w:rPr>
          <w:rFonts w:ascii="Times New Roman" w:hAnsi="Times New Roman" w:eastAsia="Times New Roman" w:cs="Times New Roman"/>
          <w:sz w:val="24"/>
          <w:szCs w:val="24"/>
          <w:lang w:val="en-GB"/>
        </w:rPr>
      </w:pPr>
    </w:p>
    <w:bookmarkEnd w:id="17"/>
    <w:p>
      <w:pPr>
        <w:spacing w:after="0" w:line="240" w:lineRule="auto"/>
        <w:jc w:val="both"/>
        <w:rPr>
          <w:rFonts w:ascii="Times New Roman" w:hAnsi="Times New Roman" w:eastAsia="Times New Roman" w:cs="Times New Roman"/>
          <w:sz w:val="24"/>
          <w:szCs w:val="24"/>
          <w:lang w:val="en-GB"/>
        </w:rPr>
        <w:sectPr>
          <w:type w:val="continuous"/>
          <w:pgSz w:w="12240" w:h="15840"/>
          <w:pgMar w:top="191" w:right="160" w:bottom="170" w:left="1440" w:header="0" w:footer="0" w:gutter="0"/>
          <w:cols w:space="425" w:num="1"/>
          <w:docGrid w:linePitch="360" w:charSpace="0"/>
        </w:sectPr>
      </w:pPr>
    </w:p>
    <w:p>
      <w:pPr>
        <w:spacing w:after="0" w:line="240" w:lineRule="auto"/>
        <w:jc w:val="both"/>
        <w:rPr>
          <w:rFonts w:ascii="Times New Roman" w:hAnsi="Times New Roman" w:eastAsia="Times New Roman" w:cs="Times New Roman"/>
          <w:sz w:val="24"/>
          <w:szCs w:val="24"/>
          <w:lang w:val="en-GB"/>
        </w:rPr>
      </w:pPr>
    </w:p>
    <w:p>
      <w:pPr>
        <w:pStyle w:val="6"/>
        <w:numPr>
          <w:ilvl w:val="0"/>
          <w:numId w:val="1"/>
        </w:numPr>
        <w:spacing w:after="0" w:line="240" w:lineRule="auto"/>
        <w:jc w:val="both"/>
        <w:rPr>
          <w:rFonts w:ascii="Times New Roman" w:hAnsi="Times New Roman" w:eastAsia="Times New Roman" w:cs="Times New Roman"/>
          <w:b/>
          <w:sz w:val="24"/>
          <w:szCs w:val="24"/>
          <w:lang w:val="en-GB"/>
        </w:rPr>
      </w:pPr>
      <w:bookmarkStart w:id="18" w:name="_Hlk512957121"/>
      <w:r>
        <w:rPr>
          <w:rFonts w:ascii="Times New Roman" w:hAnsi="Times New Roman" w:eastAsia="Times New Roman" w:cs="Times New Roman"/>
          <w:b/>
          <w:sz w:val="24"/>
          <w:szCs w:val="24"/>
          <w:lang w:val="en-GB"/>
        </w:rPr>
        <w:t>Pendahuluan</w:t>
      </w:r>
    </w:p>
    <w:p>
      <w:pPr>
        <w:pStyle w:val="6"/>
        <w:spacing w:after="0" w:line="240" w:lineRule="auto"/>
        <w:ind w:left="360"/>
        <w:jc w:val="both"/>
        <w:rPr>
          <w:rFonts w:ascii="Times New Roman" w:hAnsi="Times New Roman" w:eastAsia="Times New Roman" w:cs="Times New Roman"/>
          <w:b/>
          <w:sz w:val="24"/>
          <w:szCs w:val="24"/>
          <w:lang w:val="en-GB"/>
        </w:rPr>
      </w:pPr>
    </w:p>
    <w:p>
      <w:pPr>
        <w:spacing w:after="0" w:line="240" w:lineRule="auto"/>
        <w:ind w:firstLine="720"/>
        <w:jc w:val="both"/>
        <w:rPr>
          <w:rFonts w:ascii="Times New Roman" w:hAnsi="Times New Roman" w:eastAsia="Times New Roman" w:cs="Times New Roman"/>
          <w:sz w:val="24"/>
          <w:szCs w:val="24"/>
          <w:lang w:val="en-GB"/>
        </w:rPr>
      </w:pPr>
      <w:bookmarkStart w:id="19" w:name="_Hlk512253956"/>
      <w:r>
        <w:rPr>
          <w:rFonts w:ascii="Times New Roman" w:hAnsi="Times New Roman" w:eastAsia="Times New Roman" w:cs="Times New Roman"/>
          <w:sz w:val="24"/>
          <w:szCs w:val="24"/>
          <w:lang w:val="en-GB"/>
        </w:rPr>
        <w:t>Sepakbola adalah olahraga paling populer dan fenomenal di dunia dengan sekitar 270 juta praktisi sepakbola yang tersebar di seluruh penjuru dunia (FIFA, 2015). Sepakbola menarik perhatian para ilmuwan olahraga dan pemerintah dari negara-negara di seluruh dunia untuk mempromosikan pentingnya beraktivitas fisik dan menjaga kesehatan baik di seluruh kalangan masyarakat, bahkan untuk kaum minoritas dan orang miskin. (Hammami et al, 2016; Milanovic et al., 2015; Parnell et al., 2016). Selain itu olahraga ini juga dapat dipakai untuk mempromosikan kampanye kesehatan terkait pencegahan penyakit kronis yang disebabkan oleh minimnya aktivitas fisik (Krustrup et al., 2010). Di Indonesia sendiri olahraga ini adalah olahraga yang paling populer dibuktikan dengan pemecahan rekor kompetisi Asia AFC Cup 2018, dengan jumlah penonton Persija Jakarta ketika melawan wakil Malaysia Johor Darul Takzim dengan attendansi di Stadion Utama Gelora Bung Karno sekitar 60.000 penonton dan juga perhatian pemerintah dalam hal ini presiden dan menterinya yang kerap datang ketika tim nasional bertanding.</w:t>
      </w:r>
    </w:p>
    <w:p>
      <w:pPr>
        <w:spacing w:after="0" w:line="240" w:lineRule="auto"/>
        <w:ind w:firstLine="720"/>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Oleh karena pentingnya aspek fisik dalam permainan sepakbola, pemilihan makanan yang sehat dan nutrisi yang berkualitas sangat menunjang di dalam program latihan dan pembentukan performa fisik dari atlet sepakbola professional (Croll et al., 2006).  Makronutrien menyediakan substrat metabolic yang penting di dalam penyediaan energi yang dibutuhkan untuk memproduksi energi kimia untuk kontraksi otot skeletal dan kebutuhan kerja kardiovaskular, sedangkan makronutrien membantu reaksi metabolisme yang melibatkan produksi energi dan transportasi gas di dalam sistem sirkulasi (Mc ardle et al., 1999). Sepakbola adalah sebuah olahraga yang membutuhkan kedua system metabolisme aerobik maupun anaerobik. Pemain membutuhkan latihan yang berulang pada intensitas yang tinggi menggunakan kelompok otot yang besar dalam periode waktu beberapa detik hingga hitungan menit di dalam satu pertandingan penuh (90 menit) ditambah waktu tambahan. Secara metabolisme, atlet sepakbola bergantung terhadap cadangan glikogen yang tersimpan di dalam hati dan otot rangka. Di samping faktor genetic, talenta dan usaha dalam menjalankan latihan, telah diketahui bahwa tidak ada faktor yang lebih besar untuk memaksimalkan performa fisik pemain dibandingkan dengan penyusunan diet makan untuk pemain (Zawila et al., 2003).</w:t>
      </w:r>
    </w:p>
    <w:p>
      <w:pPr>
        <w:spacing w:after="0" w:line="240" w:lineRule="auto"/>
        <w:ind w:firstLine="720"/>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Ketidaktahuan akan ilmu gizi ini dapat mengakibatkan pola makan yang tidak sehat, gizi buruk, dan performa fisik yang tidak baik. Aktivitas fisik, khususnya di dalam konteks latihan formal dan kompetisi, meningkatkan kebutuhan energi harian bergantung kepada tipe, intensitas dan durasi aktivitas yang dilakukan (Geissler dan power, 2009). Dalam kasus sepakbola, salah satu olahraga yang membutuhkan ketahanan yang baik, kualitas makanan dan/atau minuman yang dikonsumsi, sebelum, saat, dan setelah berlatih adalah unsur yang sangat penting. Pengetahuan terkait ilmu nutrisi dan prakteknya berhubungan dengan kondisi alamiah dan jumlah dari makanan/minuman yang dikonsumsi dan juga ketepatan waktu pengkonsumsiannya semuanya memiliki hubungan yang signifikan dengan performa dari pemain sepakbola. Dengan alasan itu nutrisi olahraga menjadi hal yang krusial untuk semua atlet mengerti makanan yang masuk sebelum, setelah dan sesudah pertandingan dan untuk mencegah kesakitan dan cedera (Purcell, 2013).</w:t>
      </w:r>
    </w:p>
    <w:p>
      <w:pPr>
        <w:spacing w:after="0" w:line="240" w:lineRule="auto"/>
        <w:ind w:firstLine="720"/>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Kebanyakan atlet masih belum diinformasikan lebih lanjut terkait praktek pemberian nutrisi sehingga terjadi kesalahan pemilihan menu makanan (Scmalz, 1993). Beberapa studi lanjut terkait rekomendasi spesifik nutrisi untuk pesepakbola telah dilakukan. Acuan ini bertujuan untuk meningkatkan performa fisik ketika berlatih dan berkompetisi, meningkatkan dan mempercepat pemulihan, mencapai dan menjaga tubuh agar tetap optimal dari segi berat badan dan kondisi fisik, dan menimalisir resiko cedera dan sakit (Maughan dan Shirreffs, 2007).</w:t>
      </w:r>
    </w:p>
    <w:p>
      <w:pPr>
        <w:spacing w:after="0" w:line="240" w:lineRule="auto"/>
        <w:ind w:firstLine="720"/>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Artikel </w:t>
      </w:r>
      <w:r>
        <w:rPr>
          <w:rFonts w:ascii="Times New Roman" w:hAnsi="Times New Roman" w:eastAsia="Times New Roman" w:cs="Times New Roman"/>
          <w:i/>
          <w:sz w:val="24"/>
          <w:szCs w:val="24"/>
          <w:lang w:val="en-GB"/>
        </w:rPr>
        <w:t>literature</w:t>
      </w: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i/>
          <w:sz w:val="24"/>
          <w:szCs w:val="24"/>
          <w:lang w:val="en-GB"/>
        </w:rPr>
        <w:t>review</w:t>
      </w:r>
      <w:r>
        <w:rPr>
          <w:rFonts w:ascii="Times New Roman" w:hAnsi="Times New Roman" w:eastAsia="Times New Roman" w:cs="Times New Roman"/>
          <w:sz w:val="24"/>
          <w:szCs w:val="24"/>
          <w:lang w:val="en-GB"/>
        </w:rPr>
        <w:t xml:space="preserve"> ini menyajikan pengetahuan </w:t>
      </w:r>
      <w:r>
        <w:rPr>
          <w:rFonts w:ascii="Times New Roman" w:hAnsi="Times New Roman" w:eastAsia="Times New Roman" w:cs="Times New Roman"/>
          <w:i/>
          <w:sz w:val="24"/>
          <w:szCs w:val="24"/>
          <w:lang w:val="en-GB"/>
        </w:rPr>
        <w:t>up to date</w:t>
      </w:r>
      <w:r>
        <w:rPr>
          <w:rFonts w:ascii="Times New Roman" w:hAnsi="Times New Roman" w:eastAsia="Times New Roman" w:cs="Times New Roman"/>
          <w:sz w:val="24"/>
          <w:szCs w:val="24"/>
          <w:lang w:val="en-GB"/>
        </w:rPr>
        <w:t xml:space="preserve"> seputar peranan dan pentingnya nutrisi untuk kebutuhan sepakbola, yang diresume dari artikel-artikel ilmiah terbaru sepakbola berbagai belahan dunia terutama negara yang sepakbolanya sudah maju (</w:t>
      </w:r>
      <w:r>
        <w:rPr>
          <w:rFonts w:ascii="Times New Roman" w:hAnsi="Times New Roman" w:eastAsia="Times New Roman" w:cs="Times New Roman"/>
          <w:i/>
          <w:sz w:val="24"/>
          <w:szCs w:val="24"/>
          <w:lang w:val="en-GB"/>
        </w:rPr>
        <w:t>mostly from Europe/USA</w:t>
      </w:r>
      <w:r>
        <w:rPr>
          <w:rFonts w:ascii="Times New Roman" w:hAnsi="Times New Roman" w:eastAsia="Times New Roman" w:cs="Times New Roman"/>
          <w:sz w:val="24"/>
          <w:szCs w:val="24"/>
          <w:lang w:val="en-GB"/>
        </w:rPr>
        <w:t xml:space="preserve">). Informasi yang disajikan diharapkan dapat berguna untuk perkembangan prestasi dan ilmu dari sisi </w:t>
      </w:r>
      <w:r>
        <w:rPr>
          <w:rFonts w:ascii="Times New Roman" w:hAnsi="Times New Roman" w:eastAsia="Times New Roman" w:cs="Times New Roman"/>
          <w:i/>
          <w:sz w:val="24"/>
          <w:szCs w:val="24"/>
          <w:lang w:val="en-GB"/>
        </w:rPr>
        <w:t>sport nutrition</w:t>
      </w:r>
      <w:r>
        <w:rPr>
          <w:rFonts w:ascii="Times New Roman" w:hAnsi="Times New Roman" w:eastAsia="Times New Roman" w:cs="Times New Roman"/>
          <w:sz w:val="24"/>
          <w:szCs w:val="24"/>
          <w:lang w:val="en-GB"/>
        </w:rPr>
        <w:t xml:space="preserve"> untuk sepakbola di Indonesia yang sedang (selalu) terpuruk di kancah persepakbolaan dunia. Penyajian artikel ditujukan untuk pemain maupun pelatih sepakbola Indonesia dan pihak terkait sehingga pemahaman khususnya dari aspek </w:t>
      </w:r>
      <w:r>
        <w:rPr>
          <w:rFonts w:ascii="Times New Roman" w:hAnsi="Times New Roman" w:eastAsia="Times New Roman" w:cs="Times New Roman"/>
          <w:i/>
          <w:sz w:val="24"/>
          <w:szCs w:val="24"/>
          <w:lang w:val="en-GB"/>
        </w:rPr>
        <w:t>Sport Science</w:t>
      </w:r>
      <w:r>
        <w:rPr>
          <w:rFonts w:ascii="Times New Roman" w:hAnsi="Times New Roman" w:eastAsia="Times New Roman" w:cs="Times New Roman"/>
          <w:sz w:val="24"/>
          <w:szCs w:val="24"/>
          <w:lang w:val="en-GB"/>
        </w:rPr>
        <w:t xml:space="preserve"> dapat lebih maju di negara tercinta ini.</w:t>
      </w:r>
      <w:bookmarkEnd w:id="19"/>
    </w:p>
    <w:p>
      <w:pPr>
        <w:spacing w:after="0" w:line="240" w:lineRule="auto"/>
        <w:ind w:firstLine="720"/>
        <w:jc w:val="both"/>
        <w:rPr>
          <w:rFonts w:ascii="Times New Roman" w:hAnsi="Times New Roman" w:eastAsia="Times New Roman" w:cs="Times New Roman"/>
          <w:sz w:val="24"/>
          <w:szCs w:val="24"/>
          <w:lang w:val="en-GB"/>
        </w:rPr>
      </w:pPr>
    </w:p>
    <w:bookmarkEnd w:id="18"/>
    <w:p>
      <w:pPr>
        <w:pStyle w:val="6"/>
        <w:numPr>
          <w:ilvl w:val="0"/>
          <w:numId w:val="1"/>
        </w:numPr>
        <w:spacing w:after="0" w:line="240" w:lineRule="auto"/>
        <w:jc w:val="both"/>
        <w:rPr>
          <w:rFonts w:ascii="Times New Roman" w:hAnsi="Times New Roman" w:eastAsia="Times New Roman" w:cs="Times New Roman"/>
          <w:b/>
          <w:sz w:val="24"/>
          <w:szCs w:val="24"/>
        </w:rPr>
      </w:pPr>
      <w:bookmarkStart w:id="20" w:name="_Hlk512957157"/>
      <w:bookmarkStart w:id="21" w:name="_Hlk512254040"/>
      <w:r>
        <w:rPr>
          <w:rFonts w:ascii="Times New Roman" w:hAnsi="Times New Roman" w:eastAsia="Times New Roman" w:cs="Times New Roman"/>
          <w:b/>
          <w:sz w:val="24"/>
          <w:szCs w:val="24"/>
        </w:rPr>
        <w:t>Pembahasan</w:t>
      </w:r>
    </w:p>
    <w:p>
      <w:pPr>
        <w:pStyle w:val="6"/>
        <w:numPr>
          <w:ilvl w:val="1"/>
          <w:numId w:val="1"/>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Kebiasaan makan pesepakbola </w:t>
      </w:r>
    </w:p>
    <w:p>
      <w:pPr>
        <w:pStyle w:val="6"/>
        <w:spacing w:after="0" w:line="240" w:lineRule="auto"/>
        <w:ind w:left="450"/>
        <w:jc w:val="both"/>
        <w:rPr>
          <w:rFonts w:ascii="Times New Roman" w:hAnsi="Times New Roman" w:eastAsia="Times New Roman" w:cs="Times New Roman"/>
          <w:b/>
          <w:sz w:val="24"/>
          <w:szCs w:val="24"/>
        </w:rPr>
      </w:pPr>
    </w:p>
    <w:p>
      <w:pPr>
        <w:spacing w:after="0" w:line="240" w:lineRule="auto"/>
        <w:ind w:firstLine="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Walaupun telah banyak penelitian terkait pentingya optimalisasi nutrisi di dalam peningkatan performa sepakbola (Ono et al. 2012; Hassapidou 2001; Rico-Sanz et al. 1998; Maughan 2007; Jacobs 1982) data terkait pemain sepakbola di beberapa tingkatan umur menunjukkan keprihatinan terkait nutrisi pemain yang tidak ideal, penelitian yang dilakukan pada tahun 2009 kepada posisi pemain pesepakbola yang berbeda menunjukkkan hasil yang yang bertolak belakang (Hernandez and Nahas, 2009), yang dapat dilihat pada </w:t>
      </w:r>
      <w:r>
        <w:rPr>
          <w:rFonts w:ascii="Times New Roman" w:hAnsi="Times New Roman" w:eastAsia="Times New Roman" w:cs="Times New Roman"/>
          <w:b/>
          <w:sz w:val="24"/>
          <w:szCs w:val="24"/>
        </w:rPr>
        <w:t xml:space="preserve">tabel 1. </w:t>
      </w:r>
      <w:r>
        <w:rPr>
          <w:rFonts w:ascii="Times New Roman" w:hAnsi="Times New Roman" w:eastAsia="Times New Roman" w:cs="Times New Roman"/>
          <w:sz w:val="24"/>
          <w:szCs w:val="24"/>
        </w:rPr>
        <w:t>Hal yang menarik ketika melihat energi asupan harian pemain pada keseluruhan posisi menunjukkan angka pada kisaran rekomendasi 30-50 kkal/kg. Sedangkan kebutuhan pemain mulai dari penjaga gawang, gelandang, bek sayap dan pemain depan telah mendapatkan asupan karbohidrat sesuai dengan rekomendasi pada subyek pemain sepakbola 5-10g/kg. Sementara asupan makan dari total serat justru di bawah rekomendasi yang dianjurkan, hanya para pemain depan yang mencapai angka diatas 25g/hari. Kemungkinan hal ini dipengaruhi oleh ketidaktahuan pemain akan pentingnya asupan serat pangan dan juga sumber makanan yang mengandung serat. Di dalam hal ini peranan ahli gizi tim memegang peranan penting dalam penyediaan energi harian bagi para pemain.</w:t>
      </w:r>
    </w:p>
    <w:p>
      <w:pPr>
        <w:spacing w:after="0" w:line="240" w:lineRule="auto"/>
        <w:ind w:firstLine="450"/>
        <w:jc w:val="both"/>
        <w:rPr>
          <w:rFonts w:ascii="Times New Roman" w:hAnsi="Times New Roman" w:eastAsia="Times New Roman" w:cs="Times New Roman"/>
          <w:sz w:val="24"/>
          <w:szCs w:val="24"/>
        </w:rPr>
      </w:pPr>
    </w:p>
    <w:p>
      <w:pPr>
        <w:spacing w:after="0" w:line="0" w:lineRule="atLeast"/>
        <w:ind w:left="393"/>
        <w:rPr>
          <w:rFonts w:ascii="Times New Roman" w:hAnsi="Times New Roman" w:eastAsia="Arial" w:cs="Times New Roman"/>
          <w:b/>
          <w:sz w:val="24"/>
          <w:szCs w:val="24"/>
        </w:rPr>
        <w:sectPr>
          <w:type w:val="continuous"/>
          <w:pgSz w:w="12240" w:h="15840"/>
          <w:pgMar w:top="191" w:right="160" w:bottom="170" w:left="1440" w:header="0" w:footer="0" w:gutter="0"/>
          <w:cols w:equalWidth="0" w:num="2">
            <w:col w:w="5107" w:space="425"/>
            <w:col w:w="5107"/>
          </w:cols>
          <w:docGrid w:linePitch="360" w:charSpace="0"/>
        </w:sectPr>
      </w:pPr>
    </w:p>
    <w:p>
      <w:pPr>
        <w:spacing w:after="0" w:line="0" w:lineRule="atLeast"/>
        <w:ind w:left="393"/>
        <w:rPr>
          <w:rFonts w:ascii="Times New Roman" w:hAnsi="Times New Roman" w:eastAsia="Arial" w:cs="Times New Roman"/>
          <w:b/>
          <w:sz w:val="24"/>
          <w:szCs w:val="24"/>
        </w:rPr>
      </w:pPr>
    </w:p>
    <w:p>
      <w:pPr>
        <w:spacing w:after="0" w:line="0" w:lineRule="atLeast"/>
        <w:ind w:left="393"/>
        <w:rPr>
          <w:rFonts w:ascii="Times New Roman" w:hAnsi="Times New Roman" w:eastAsia="Arial" w:cs="Times New Roman"/>
          <w:sz w:val="24"/>
          <w:szCs w:val="24"/>
        </w:rPr>
      </w:pPr>
      <w:r>
        <w:rPr>
          <w:rFonts w:ascii="Times New Roman" w:hAnsi="Times New Roman" w:eastAsia="Arial" w:cs="Times New Roman"/>
          <w:b/>
          <w:sz w:val="24"/>
          <w:szCs w:val="24"/>
        </w:rPr>
        <w:t>Tabel 1</w:t>
      </w:r>
      <w:r>
        <w:rPr>
          <w:rFonts w:ascii="Times New Roman" w:hAnsi="Times New Roman" w:eastAsia="Arial" w:cs="Times New Roman"/>
          <w:sz w:val="24"/>
          <w:szCs w:val="24"/>
        </w:rPr>
        <w:t>. Energi, asupan makronutrien, angka kecukupan dilihat dari berbagai posisi pemain di lapangan (Hernandez and Nahas, 2009).</w:t>
      </w:r>
    </w:p>
    <w:p>
      <w:pPr>
        <w:spacing w:after="0" w:line="0" w:lineRule="atLeast"/>
        <w:ind w:left="393"/>
        <w:rPr>
          <w:rFonts w:ascii="Arial" w:hAnsi="Arial" w:eastAsia="Arial" w:cs="Arial"/>
          <w:sz w:val="18"/>
          <w:szCs w:val="20"/>
        </w:rPr>
      </w:pPr>
    </w:p>
    <w:p>
      <w:pPr>
        <w:spacing w:after="0" w:line="20" w:lineRule="exact"/>
        <w:rPr>
          <w:rFonts w:ascii="Times New Roman" w:hAnsi="Times New Roman" w:eastAsia="Times New Roman" w:cs="Arial"/>
          <w:sz w:val="20"/>
          <w:szCs w:val="20"/>
        </w:rPr>
      </w:pPr>
      <w:r>
        <w:rPr>
          <w:rFonts w:ascii="Arial" w:hAnsi="Arial" w:eastAsia="Arial" w:cs="Arial"/>
          <w:sz w:val="18"/>
          <w:szCs w:val="20"/>
        </w:rPr>
        <mc:AlternateContent>
          <mc:Choice Requires="wps">
            <w:drawing>
              <wp:anchor distT="0" distB="0" distL="114300" distR="114300" simplePos="0" relativeHeight="251659264" behindDoc="1" locked="0" layoutInCell="1" allowOverlap="1">
                <wp:simplePos x="0" y="0"/>
                <wp:positionH relativeFrom="column">
                  <wp:posOffset>255270</wp:posOffset>
                </wp:positionH>
                <wp:positionV relativeFrom="paragraph">
                  <wp:posOffset>72390</wp:posOffset>
                </wp:positionV>
                <wp:extent cx="8589645" cy="0"/>
                <wp:effectExtent l="8890" t="13335" r="12065" b="5715"/>
                <wp:wrapNone/>
                <wp:docPr id="4" name="Line 20"/>
                <wp:cNvGraphicFramePr/>
                <a:graphic xmlns:a="http://schemas.openxmlformats.org/drawingml/2006/main">
                  <a:graphicData uri="http://schemas.microsoft.com/office/word/2010/wordprocessingShape">
                    <wps:wsp>
                      <wps:cNvCnPr>
                        <a:cxnSpLocks noChangeShapeType="1"/>
                      </wps:cNvCnPr>
                      <wps:spPr bwMode="auto">
                        <a:xfrm>
                          <a:off x="0" y="0"/>
                          <a:ext cx="8589645" cy="0"/>
                        </a:xfrm>
                        <a:prstGeom prst="line">
                          <a:avLst/>
                        </a:prstGeom>
                        <a:noFill/>
                        <a:ln w="6480">
                          <a:solidFill>
                            <a:srgbClr val="000000"/>
                          </a:solidFill>
                          <a:prstDash val="solid"/>
                          <a:round/>
                        </a:ln>
                      </wps:spPr>
                      <wps:bodyPr/>
                    </wps:wsp>
                  </a:graphicData>
                </a:graphic>
              </wp:anchor>
            </w:drawing>
          </mc:Choice>
          <mc:Fallback>
            <w:pict>
              <v:line id="Line 20" o:spid="_x0000_s1026" o:spt="20" style="position:absolute;left:0pt;margin-left:20.1pt;margin-top:5.7pt;height:0pt;width:676.35pt;z-index:-251657216;mso-width-relative:page;mso-height-relative:page;" filled="f" stroked="t" coordsize="21600,21600" o:gfxdata="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lpYbNMAAAAJAQAADwAAAAAAAAABACAAAAAiAAAAZHJzL2Rvd25yZXYueG1sUEsBAhQAFAAA&#10;AAgAh07iQJOw+Pa7AQAAawMAAA4AAAAAAAAAAQAgAAAAIgEAAGRycy9lMm9Eb2MueG1sUEsFBgAA&#10;AAAGAAYAWQEAAE8FAAAAAA==&#10;">
                <v:fill on="f" focussize="0,0"/>
                <v:stroke weight="0.510236220472441pt" color="#000000" joinstyle="round"/>
                <v:imagedata o:title=""/>
                <o:lock v:ext="edit" aspectratio="f"/>
              </v:line>
            </w:pict>
          </mc:Fallback>
        </mc:AlternateContent>
      </w:r>
    </w:p>
    <w:p>
      <w:pPr>
        <w:spacing w:after="0" w:line="155" w:lineRule="exact"/>
        <w:rPr>
          <w:rFonts w:ascii="Times New Roman" w:hAnsi="Times New Roman" w:eastAsia="Times New Roman" w:cs="Arial"/>
          <w:sz w:val="20"/>
          <w:szCs w:val="20"/>
        </w:rPr>
      </w:pPr>
    </w:p>
    <w:tbl>
      <w:tblPr>
        <w:tblStyle w:val="4"/>
        <w:tblW w:w="13540" w:type="dxa"/>
        <w:tblInd w:w="393" w:type="dxa"/>
        <w:tblLayout w:type="fixed"/>
        <w:tblCellMar>
          <w:top w:w="0" w:type="dxa"/>
          <w:left w:w="0" w:type="dxa"/>
          <w:bottom w:w="0" w:type="dxa"/>
          <w:right w:w="0" w:type="dxa"/>
        </w:tblCellMar>
      </w:tblPr>
      <w:tblGrid>
        <w:gridCol w:w="2020"/>
        <w:gridCol w:w="260"/>
        <w:gridCol w:w="1380"/>
        <w:gridCol w:w="1660"/>
        <w:gridCol w:w="1540"/>
        <w:gridCol w:w="1560"/>
        <w:gridCol w:w="500"/>
        <w:gridCol w:w="1140"/>
        <w:gridCol w:w="440"/>
        <w:gridCol w:w="960"/>
        <w:gridCol w:w="500"/>
        <w:gridCol w:w="1580"/>
      </w:tblGrid>
      <w:tr>
        <w:tblPrEx>
          <w:tblLayout w:type="fixed"/>
          <w:tblCellMar>
            <w:top w:w="0" w:type="dxa"/>
            <w:left w:w="0" w:type="dxa"/>
            <w:bottom w:w="0" w:type="dxa"/>
            <w:right w:w="0" w:type="dxa"/>
          </w:tblCellMar>
        </w:tblPrEx>
        <w:trPr>
          <w:trHeight w:val="207"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26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380" w:type="dxa"/>
            <w:shd w:val="clear" w:color="auto" w:fill="auto"/>
            <w:vAlign w:val="bottom"/>
          </w:tcPr>
          <w:p>
            <w:pPr>
              <w:spacing w:after="0" w:line="0" w:lineRule="atLeast"/>
              <w:rPr>
                <w:rFonts w:ascii="Times New Roman" w:hAnsi="Times New Roman" w:eastAsia="Times New Roman" w:cs="Arial"/>
                <w:sz w:val="18"/>
                <w:szCs w:val="20"/>
              </w:rPr>
            </w:pPr>
          </w:p>
        </w:tc>
        <w:tc>
          <w:tcPr>
            <w:tcW w:w="1660" w:type="dxa"/>
            <w:shd w:val="clear" w:color="auto" w:fill="auto"/>
            <w:vAlign w:val="bottom"/>
          </w:tcPr>
          <w:p>
            <w:pPr>
              <w:spacing w:after="0" w:line="0" w:lineRule="atLeast"/>
              <w:rPr>
                <w:rFonts w:ascii="Times New Roman" w:hAnsi="Times New Roman" w:eastAsia="Times New Roman" w:cs="Arial"/>
                <w:sz w:val="18"/>
                <w:szCs w:val="20"/>
              </w:rPr>
            </w:pPr>
          </w:p>
        </w:tc>
        <w:tc>
          <w:tcPr>
            <w:tcW w:w="3100" w:type="dxa"/>
            <w:gridSpan w:val="2"/>
            <w:shd w:val="clear" w:color="auto" w:fill="auto"/>
            <w:vAlign w:val="bottom"/>
          </w:tcPr>
          <w:p>
            <w:pPr>
              <w:spacing w:after="0" w:line="0" w:lineRule="atLeast"/>
              <w:ind w:left="1020"/>
              <w:rPr>
                <w:rFonts w:ascii="Arial" w:hAnsi="Arial" w:eastAsia="Arial" w:cs="Arial"/>
                <w:sz w:val="18"/>
                <w:szCs w:val="20"/>
              </w:rPr>
            </w:pPr>
            <w:r>
              <w:rPr>
                <w:rFonts w:ascii="Arial" w:hAnsi="Arial" w:eastAsia="Arial" w:cs="Arial"/>
                <w:sz w:val="18"/>
                <w:szCs w:val="20"/>
              </w:rPr>
              <w:t>Posisi</w:t>
            </w:r>
          </w:p>
        </w:tc>
        <w:tc>
          <w:tcPr>
            <w:tcW w:w="1640" w:type="dxa"/>
            <w:gridSpan w:val="2"/>
            <w:shd w:val="clear" w:color="auto" w:fill="auto"/>
            <w:vAlign w:val="bottom"/>
          </w:tcPr>
          <w:p>
            <w:pPr>
              <w:spacing w:after="0" w:line="0" w:lineRule="atLeast"/>
              <w:rPr>
                <w:rFonts w:ascii="Times New Roman" w:hAnsi="Times New Roman" w:eastAsia="Times New Roman" w:cs="Arial"/>
                <w:sz w:val="18"/>
                <w:szCs w:val="20"/>
              </w:rPr>
            </w:pPr>
          </w:p>
        </w:tc>
        <w:tc>
          <w:tcPr>
            <w:tcW w:w="1400" w:type="dxa"/>
            <w:gridSpan w:val="2"/>
            <w:shd w:val="clear" w:color="auto" w:fill="auto"/>
            <w:vAlign w:val="bottom"/>
          </w:tcPr>
          <w:p>
            <w:pPr>
              <w:spacing w:after="0" w:line="0" w:lineRule="atLeast"/>
              <w:rPr>
                <w:rFonts w:ascii="Times New Roman" w:hAnsi="Times New Roman" w:eastAsia="Times New Roman" w:cs="Arial"/>
                <w:sz w:val="18"/>
                <w:szCs w:val="20"/>
              </w:rPr>
            </w:pPr>
          </w:p>
        </w:tc>
        <w:tc>
          <w:tcPr>
            <w:tcW w:w="500" w:type="dxa"/>
            <w:shd w:val="clear" w:color="auto" w:fill="auto"/>
            <w:vAlign w:val="bottom"/>
          </w:tcPr>
          <w:p>
            <w:pPr>
              <w:spacing w:after="0" w:line="0" w:lineRule="atLeast"/>
              <w:rPr>
                <w:rFonts w:ascii="Times New Roman" w:hAnsi="Times New Roman" w:eastAsia="Times New Roman" w:cs="Arial"/>
                <w:sz w:val="18"/>
                <w:szCs w:val="20"/>
              </w:rPr>
            </w:pPr>
          </w:p>
        </w:tc>
        <w:tc>
          <w:tcPr>
            <w:tcW w:w="1580" w:type="dxa"/>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trHeight w:val="109" w:hRule="atLeast"/>
        </w:trPr>
        <w:tc>
          <w:tcPr>
            <w:tcW w:w="2020" w:type="dxa"/>
            <w:tcBorders>
              <w:left w:val="single" w:color="auto" w:sz="4" w:space="0"/>
              <w:bottom w:val="single" w:color="auto" w:sz="4" w:space="0"/>
              <w:right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260" w:type="dxa"/>
            <w:tcBorders>
              <w:left w:val="single" w:color="auto" w:sz="4" w:space="0"/>
              <w:bottom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1380" w:type="dxa"/>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660" w:type="dxa"/>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540" w:type="dxa"/>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560" w:type="dxa"/>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640" w:type="dxa"/>
            <w:gridSpan w:val="2"/>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400" w:type="dxa"/>
            <w:gridSpan w:val="2"/>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500" w:type="dxa"/>
            <w:shd w:val="clear" w:color="auto" w:fill="auto"/>
            <w:vAlign w:val="bottom"/>
          </w:tcPr>
          <w:p>
            <w:pPr>
              <w:spacing w:after="0" w:line="0" w:lineRule="atLeast"/>
              <w:rPr>
                <w:rFonts w:ascii="Times New Roman" w:hAnsi="Times New Roman" w:eastAsia="Times New Roman" w:cs="Arial"/>
                <w:sz w:val="9"/>
                <w:szCs w:val="20"/>
              </w:rPr>
            </w:pPr>
          </w:p>
        </w:tc>
        <w:tc>
          <w:tcPr>
            <w:tcW w:w="1580" w:type="dxa"/>
            <w:shd w:val="clear" w:color="auto" w:fill="auto"/>
            <w:vAlign w:val="bottom"/>
          </w:tcPr>
          <w:p>
            <w:pPr>
              <w:spacing w:after="0" w:line="0" w:lineRule="atLeast"/>
              <w:rPr>
                <w:rFonts w:ascii="Times New Roman" w:hAnsi="Times New Roman" w:eastAsia="Times New Roman" w:cs="Arial"/>
                <w:sz w:val="9"/>
                <w:szCs w:val="20"/>
              </w:rPr>
            </w:pPr>
          </w:p>
        </w:tc>
      </w:tr>
      <w:tr>
        <w:tblPrEx>
          <w:tblLayout w:type="fixed"/>
          <w:tblCellMar>
            <w:top w:w="0" w:type="dxa"/>
            <w:left w:w="0" w:type="dxa"/>
            <w:bottom w:w="0" w:type="dxa"/>
            <w:right w:w="0" w:type="dxa"/>
          </w:tblCellMar>
        </w:tblPrEx>
        <w:trPr>
          <w:gridAfter w:val="3"/>
          <w:wAfter w:w="3040" w:type="dxa"/>
          <w:trHeight w:val="255" w:hRule="atLeast"/>
        </w:trPr>
        <w:tc>
          <w:tcPr>
            <w:tcW w:w="2020" w:type="dxa"/>
            <w:tcBorders>
              <w:top w:val="single" w:color="auto" w:sz="4" w:space="0"/>
              <w:left w:val="single" w:color="auto" w:sz="4" w:space="0"/>
              <w:right w:val="single" w:color="auto" w:sz="4" w:space="0"/>
            </w:tcBorders>
            <w:shd w:val="clear" w:color="auto" w:fill="auto"/>
            <w:vAlign w:val="bottom"/>
          </w:tcPr>
          <w:p>
            <w:pPr>
              <w:spacing w:after="0" w:line="0" w:lineRule="atLeast"/>
              <w:rPr>
                <w:rFonts w:ascii="Times New Roman" w:hAnsi="Times New Roman" w:eastAsia="Times New Roman" w:cs="Arial"/>
                <w:szCs w:val="20"/>
              </w:rPr>
            </w:pPr>
          </w:p>
        </w:tc>
        <w:tc>
          <w:tcPr>
            <w:tcW w:w="260" w:type="dxa"/>
            <w:tcBorders>
              <w:top w:val="single" w:color="auto" w:sz="4" w:space="0"/>
              <w:left w:val="single" w:color="auto" w:sz="4" w:space="0"/>
            </w:tcBorders>
            <w:shd w:val="clear" w:color="auto" w:fill="auto"/>
            <w:vAlign w:val="bottom"/>
          </w:tcPr>
          <w:p>
            <w:pPr>
              <w:spacing w:after="0" w:line="0" w:lineRule="atLeast"/>
              <w:rPr>
                <w:rFonts w:ascii="Times New Roman" w:hAnsi="Times New Roman" w:eastAsia="Times New Roman" w:cs="Arial"/>
                <w:szCs w:val="20"/>
              </w:rPr>
            </w:pPr>
          </w:p>
        </w:tc>
        <w:tc>
          <w:tcPr>
            <w:tcW w:w="1380" w:type="dxa"/>
            <w:tcBorders>
              <w:right w:val="single" w:color="auto" w:sz="4" w:space="0"/>
            </w:tcBorders>
            <w:shd w:val="clear" w:color="auto" w:fill="auto"/>
            <w:vAlign w:val="bottom"/>
          </w:tcPr>
          <w:p>
            <w:pPr>
              <w:spacing w:after="0" w:line="0" w:lineRule="atLeast"/>
              <w:ind w:right="330"/>
              <w:jc w:val="right"/>
              <w:rPr>
                <w:rFonts w:ascii="Arial" w:hAnsi="Arial" w:eastAsia="Arial" w:cs="Arial"/>
                <w:sz w:val="18"/>
                <w:szCs w:val="20"/>
              </w:rPr>
            </w:pPr>
            <w:r>
              <w:rPr>
                <w:rFonts w:ascii="Arial" w:hAnsi="Arial" w:eastAsia="Arial" w:cs="Arial"/>
                <w:sz w:val="18"/>
                <w:szCs w:val="20"/>
              </w:rPr>
              <w:t>Gelandang</w:t>
            </w:r>
          </w:p>
        </w:tc>
        <w:tc>
          <w:tcPr>
            <w:tcW w:w="1660" w:type="dxa"/>
            <w:tcBorders>
              <w:left w:val="single" w:color="auto" w:sz="4" w:space="0"/>
              <w:right w:val="single" w:color="auto" w:sz="4" w:space="0"/>
            </w:tcBorders>
            <w:shd w:val="clear" w:color="auto" w:fill="auto"/>
            <w:vAlign w:val="bottom"/>
          </w:tcPr>
          <w:p>
            <w:pPr>
              <w:spacing w:after="0" w:line="0" w:lineRule="atLeast"/>
              <w:ind w:right="270"/>
              <w:jc w:val="center"/>
              <w:rPr>
                <w:rFonts w:ascii="Arial" w:hAnsi="Arial" w:eastAsia="Arial" w:cs="Arial"/>
                <w:sz w:val="18"/>
                <w:szCs w:val="20"/>
              </w:rPr>
            </w:pPr>
            <w:r>
              <w:rPr>
                <w:rFonts w:ascii="Arial" w:hAnsi="Arial" w:eastAsia="Arial" w:cs="Arial"/>
                <w:sz w:val="18"/>
                <w:szCs w:val="20"/>
              </w:rPr>
              <w:t>Kiper</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3"/>
                <w:sz w:val="18"/>
                <w:szCs w:val="20"/>
              </w:rPr>
            </w:pPr>
            <w:r>
              <w:rPr>
                <w:rFonts w:ascii="Arial" w:hAnsi="Arial" w:eastAsia="Arial" w:cs="Arial"/>
                <w:w w:val="93"/>
                <w:sz w:val="18"/>
                <w:szCs w:val="20"/>
              </w:rPr>
              <w:t>Pemain depan</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7"/>
                <w:sz w:val="18"/>
                <w:szCs w:val="20"/>
              </w:rPr>
            </w:pPr>
            <w:r>
              <w:rPr>
                <w:rFonts w:ascii="Arial" w:hAnsi="Arial" w:eastAsia="Arial" w:cs="Arial"/>
                <w:w w:val="87"/>
                <w:sz w:val="18"/>
                <w:szCs w:val="20"/>
              </w:rPr>
              <w:t>Bek sayap</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Cs w:val="20"/>
              </w:rPr>
            </w:pPr>
          </w:p>
        </w:tc>
      </w:tr>
      <w:tr>
        <w:tblPrEx>
          <w:tblLayout w:type="fixed"/>
          <w:tblCellMar>
            <w:top w:w="0" w:type="dxa"/>
            <w:left w:w="0" w:type="dxa"/>
            <w:bottom w:w="0" w:type="dxa"/>
            <w:right w:w="0" w:type="dxa"/>
          </w:tblCellMar>
        </w:tblPrEx>
        <w:trPr>
          <w:gridAfter w:val="3"/>
          <w:wAfter w:w="3040" w:type="dxa"/>
          <w:trHeight w:val="259"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Variables</w:t>
            </w:r>
          </w:p>
        </w:tc>
        <w:tc>
          <w:tcPr>
            <w:tcW w:w="260" w:type="dxa"/>
            <w:tcBorders>
              <w:left w:val="single" w:color="auto" w:sz="4" w:space="0"/>
            </w:tcBorders>
            <w:shd w:val="clear" w:color="auto" w:fill="auto"/>
            <w:vAlign w:val="bottom"/>
          </w:tcPr>
          <w:p>
            <w:pPr>
              <w:spacing w:after="0" w:line="0" w:lineRule="atLeast"/>
              <w:rPr>
                <w:rFonts w:ascii="Times New Roman" w:hAnsi="Times New Roman" w:eastAsia="Times New Roman" w:cs="Arial"/>
                <w:szCs w:val="20"/>
              </w:rPr>
            </w:pPr>
          </w:p>
        </w:tc>
        <w:tc>
          <w:tcPr>
            <w:tcW w:w="1380" w:type="dxa"/>
            <w:tcBorders>
              <w:right w:val="single" w:color="auto" w:sz="4" w:space="0"/>
            </w:tcBorders>
            <w:shd w:val="clear" w:color="auto" w:fill="auto"/>
            <w:vAlign w:val="bottom"/>
          </w:tcPr>
          <w:p>
            <w:pPr>
              <w:spacing w:after="0" w:line="0" w:lineRule="atLeast"/>
              <w:ind w:right="270"/>
              <w:jc w:val="right"/>
              <w:rPr>
                <w:rFonts w:ascii="Arial" w:hAnsi="Arial" w:eastAsia="Arial" w:cs="Arial"/>
                <w:sz w:val="18"/>
                <w:szCs w:val="20"/>
              </w:rPr>
            </w:pPr>
            <w:r>
              <w:rPr>
                <w:rFonts w:ascii="Arial" w:hAnsi="Arial" w:eastAsia="Arial" w:cs="Arial"/>
                <w:sz w:val="18"/>
                <w:szCs w:val="20"/>
              </w:rPr>
              <w:t xml:space="preserve">Mean </w:t>
            </w:r>
            <w:r>
              <w:rPr>
                <w:rFonts w:ascii="Times New Roman" w:hAnsi="Times New Roman" w:eastAsia="Times New Roman" w:cs="Arial"/>
                <w:sz w:val="18"/>
                <w:szCs w:val="20"/>
              </w:rPr>
              <w:t>+</w:t>
            </w:r>
            <w:r>
              <w:rPr>
                <w:rFonts w:ascii="Arial" w:hAnsi="Arial" w:eastAsia="Arial" w:cs="Arial"/>
                <w:sz w:val="18"/>
                <w:szCs w:val="20"/>
              </w:rPr>
              <w:t xml:space="preserve"> SD</w:t>
            </w:r>
          </w:p>
        </w:tc>
        <w:tc>
          <w:tcPr>
            <w:tcW w:w="1660" w:type="dxa"/>
            <w:tcBorders>
              <w:left w:val="single" w:color="auto" w:sz="4" w:space="0"/>
              <w:right w:val="single" w:color="auto" w:sz="4" w:space="0"/>
            </w:tcBorders>
            <w:shd w:val="clear" w:color="auto" w:fill="auto"/>
            <w:vAlign w:val="bottom"/>
          </w:tcPr>
          <w:p>
            <w:pPr>
              <w:spacing w:after="0" w:line="0" w:lineRule="atLeast"/>
              <w:ind w:right="290"/>
              <w:jc w:val="right"/>
              <w:rPr>
                <w:rFonts w:ascii="Arial" w:hAnsi="Arial" w:eastAsia="Arial" w:cs="Arial"/>
                <w:sz w:val="18"/>
                <w:szCs w:val="20"/>
              </w:rPr>
            </w:pPr>
            <w:r>
              <w:rPr>
                <w:rFonts w:ascii="Arial" w:hAnsi="Arial" w:eastAsia="Arial" w:cs="Arial"/>
                <w:sz w:val="18"/>
                <w:szCs w:val="20"/>
              </w:rPr>
              <w:t xml:space="preserve">Mean </w:t>
            </w:r>
            <w:r>
              <w:rPr>
                <w:rFonts w:ascii="Times New Roman" w:hAnsi="Times New Roman" w:eastAsia="Times New Roman" w:cs="Arial"/>
                <w:sz w:val="18"/>
                <w:szCs w:val="20"/>
              </w:rPr>
              <w:t>+</w:t>
            </w:r>
            <w:r>
              <w:rPr>
                <w:rFonts w:ascii="Arial" w:hAnsi="Arial" w:eastAsia="Arial" w:cs="Arial"/>
                <w:sz w:val="18"/>
                <w:szCs w:val="20"/>
              </w:rPr>
              <w:t xml:space="preserve"> SD</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 xml:space="preserve">Mean </w:t>
            </w:r>
            <w:r>
              <w:rPr>
                <w:rFonts w:ascii="Times New Roman" w:hAnsi="Times New Roman" w:eastAsia="Times New Roman" w:cs="Arial"/>
                <w:w w:val="99"/>
                <w:sz w:val="18"/>
                <w:szCs w:val="20"/>
              </w:rPr>
              <w:t>+</w:t>
            </w:r>
            <w:r>
              <w:rPr>
                <w:rFonts w:ascii="Arial" w:hAnsi="Arial" w:eastAsia="Arial" w:cs="Arial"/>
                <w:w w:val="99"/>
                <w:sz w:val="18"/>
                <w:szCs w:val="20"/>
              </w:rPr>
              <w:t xml:space="preserve"> SD</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 xml:space="preserve">Mean </w:t>
            </w:r>
            <w:r>
              <w:rPr>
                <w:rFonts w:ascii="Times New Roman" w:hAnsi="Times New Roman" w:eastAsia="Times New Roman" w:cs="Arial"/>
                <w:w w:val="99"/>
                <w:sz w:val="18"/>
                <w:szCs w:val="20"/>
              </w:rPr>
              <w:t>+</w:t>
            </w:r>
            <w:r>
              <w:rPr>
                <w:rFonts w:ascii="Arial" w:hAnsi="Arial" w:eastAsia="Arial" w:cs="Arial"/>
                <w:w w:val="99"/>
                <w:sz w:val="18"/>
                <w:szCs w:val="20"/>
              </w:rPr>
              <w:t xml:space="preserve"> SD</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Cs w:val="20"/>
              </w:rPr>
            </w:pPr>
          </w:p>
        </w:tc>
        <w:tc>
          <w:tcPr>
            <w:tcW w:w="1580" w:type="dxa"/>
            <w:gridSpan w:val="2"/>
            <w:shd w:val="clear" w:color="auto" w:fill="auto"/>
            <w:vAlign w:val="bottom"/>
          </w:tcPr>
          <w:p>
            <w:pPr>
              <w:spacing w:after="0" w:line="258" w:lineRule="exact"/>
              <w:rPr>
                <w:rFonts w:ascii="Arial" w:hAnsi="Arial" w:eastAsia="Arial" w:cs="Arial"/>
                <w:w w:val="97"/>
                <w:sz w:val="26"/>
                <w:szCs w:val="20"/>
                <w:vertAlign w:val="superscript"/>
              </w:rPr>
            </w:pPr>
            <w:r>
              <w:rPr>
                <w:rFonts w:ascii="Arial" w:hAnsi="Arial" w:eastAsia="Arial" w:cs="Arial"/>
                <w:w w:val="97"/>
                <w:sz w:val="18"/>
                <w:szCs w:val="20"/>
              </w:rPr>
              <w:t>Rekomendasi</w:t>
            </w:r>
          </w:p>
        </w:tc>
      </w:tr>
      <w:tr>
        <w:tblPrEx>
          <w:tblLayout w:type="fixed"/>
          <w:tblCellMar>
            <w:top w:w="0" w:type="dxa"/>
            <w:left w:w="0" w:type="dxa"/>
            <w:bottom w:w="0" w:type="dxa"/>
            <w:right w:w="0" w:type="dxa"/>
          </w:tblCellMar>
        </w:tblPrEx>
        <w:trPr>
          <w:gridAfter w:val="3"/>
          <w:wAfter w:w="3040" w:type="dxa"/>
          <w:trHeight w:val="70" w:hRule="atLeast"/>
        </w:trPr>
        <w:tc>
          <w:tcPr>
            <w:tcW w:w="202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c>
          <w:tcPr>
            <w:tcW w:w="1640" w:type="dxa"/>
            <w:gridSpan w:val="2"/>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c>
          <w:tcPr>
            <w:tcW w:w="166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c>
          <w:tcPr>
            <w:tcW w:w="154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c>
          <w:tcPr>
            <w:tcW w:w="156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c>
          <w:tcPr>
            <w:tcW w:w="500" w:type="dxa"/>
            <w:tcBorders>
              <w:left w:val="single" w:color="auto" w:sz="4" w:space="0"/>
              <w:bottom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c>
          <w:tcPr>
            <w:tcW w:w="1580" w:type="dxa"/>
            <w:gridSpan w:val="2"/>
            <w:tcBorders>
              <w:bottom w:val="single" w:color="auto" w:sz="4" w:space="0"/>
            </w:tcBorders>
            <w:shd w:val="clear" w:color="auto" w:fill="auto"/>
            <w:vAlign w:val="bottom"/>
          </w:tcPr>
          <w:p>
            <w:pPr>
              <w:spacing w:after="0" w:line="0" w:lineRule="atLeast"/>
              <w:rPr>
                <w:rFonts w:ascii="Times New Roman" w:hAnsi="Times New Roman" w:eastAsia="Times New Roman" w:cs="Arial"/>
                <w:sz w:val="6"/>
                <w:szCs w:val="20"/>
              </w:rPr>
            </w:pPr>
          </w:p>
        </w:tc>
      </w:tr>
      <w:tr>
        <w:tblPrEx>
          <w:tblLayout w:type="fixed"/>
          <w:tblCellMar>
            <w:top w:w="0" w:type="dxa"/>
            <w:left w:w="0" w:type="dxa"/>
            <w:bottom w:w="0" w:type="dxa"/>
            <w:right w:w="0" w:type="dxa"/>
          </w:tblCellMar>
        </w:tblPrEx>
        <w:trPr>
          <w:gridAfter w:val="3"/>
          <w:wAfter w:w="3040" w:type="dxa"/>
          <w:trHeight w:val="262"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Energi (kcal/kg/day)</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44.29</w:t>
            </w:r>
            <w:r>
              <w:rPr>
                <w:rFonts w:ascii="Times New Roman" w:hAnsi="Times New Roman" w:eastAsia="Times New Roman" w:cs="Arial"/>
                <w:w w:val="97"/>
                <w:sz w:val="18"/>
                <w:szCs w:val="20"/>
              </w:rPr>
              <w:t>+</w:t>
            </w:r>
            <w:r>
              <w:rPr>
                <w:rFonts w:ascii="Arial" w:hAnsi="Arial" w:eastAsia="Arial" w:cs="Arial"/>
                <w:w w:val="97"/>
                <w:sz w:val="18"/>
                <w:szCs w:val="20"/>
              </w:rPr>
              <w:t>16.84</w:t>
            </w:r>
          </w:p>
        </w:tc>
        <w:tc>
          <w:tcPr>
            <w:tcW w:w="1660" w:type="dxa"/>
            <w:tcBorders>
              <w:left w:val="single" w:color="auto" w:sz="4" w:space="0"/>
              <w:right w:val="single" w:color="auto" w:sz="4" w:space="0"/>
            </w:tcBorders>
            <w:shd w:val="clear" w:color="auto" w:fill="auto"/>
            <w:vAlign w:val="bottom"/>
          </w:tcPr>
          <w:p>
            <w:pPr>
              <w:spacing w:after="0" w:line="0" w:lineRule="atLeast"/>
              <w:ind w:right="350"/>
              <w:jc w:val="right"/>
              <w:rPr>
                <w:rFonts w:ascii="Arial" w:hAnsi="Arial" w:eastAsia="Arial" w:cs="Arial"/>
                <w:sz w:val="18"/>
                <w:szCs w:val="20"/>
              </w:rPr>
            </w:pPr>
            <w:r>
              <w:rPr>
                <w:rFonts w:ascii="Arial" w:hAnsi="Arial" w:eastAsia="Arial" w:cs="Arial"/>
                <w:sz w:val="18"/>
                <w:szCs w:val="20"/>
              </w:rPr>
              <w:t>39.59</w:t>
            </w:r>
            <w:r>
              <w:rPr>
                <w:rFonts w:ascii="Times New Roman" w:hAnsi="Times New Roman" w:eastAsia="Times New Roman" w:cs="Arial"/>
                <w:sz w:val="18"/>
                <w:szCs w:val="20"/>
              </w:rPr>
              <w:t>+</w:t>
            </w:r>
            <w:r>
              <w:rPr>
                <w:rFonts w:ascii="Arial" w:hAnsi="Arial" w:eastAsia="Arial" w:cs="Arial"/>
                <w:sz w:val="18"/>
                <w:szCs w:val="20"/>
              </w:rPr>
              <w:t>7.20</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39.44</w:t>
            </w:r>
            <w:r>
              <w:rPr>
                <w:rFonts w:ascii="Times New Roman" w:hAnsi="Times New Roman" w:eastAsia="Times New Roman" w:cs="Arial"/>
                <w:w w:val="99"/>
                <w:sz w:val="18"/>
                <w:szCs w:val="20"/>
              </w:rPr>
              <w:t>+</w:t>
            </w:r>
            <w:r>
              <w:rPr>
                <w:rFonts w:ascii="Arial" w:hAnsi="Arial" w:eastAsia="Arial" w:cs="Arial"/>
                <w:w w:val="99"/>
                <w:sz w:val="18"/>
                <w:szCs w:val="20"/>
              </w:rPr>
              <w:t>9.18</w:t>
            </w:r>
          </w:p>
        </w:tc>
        <w:tc>
          <w:tcPr>
            <w:tcW w:w="156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w w:val="97"/>
                <w:sz w:val="18"/>
                <w:szCs w:val="20"/>
              </w:rPr>
            </w:pPr>
            <w:r>
              <w:rPr>
                <w:rFonts w:ascii="Arial" w:hAnsi="Arial" w:eastAsia="Arial" w:cs="Arial"/>
                <w:w w:val="97"/>
                <w:sz w:val="18"/>
                <w:szCs w:val="20"/>
              </w:rPr>
              <w:t>38.52</w:t>
            </w:r>
            <w:r>
              <w:rPr>
                <w:rFonts w:ascii="Times New Roman" w:hAnsi="Times New Roman" w:eastAsia="Times New Roman" w:cs="Arial"/>
                <w:w w:val="97"/>
                <w:sz w:val="18"/>
                <w:szCs w:val="20"/>
              </w:rPr>
              <w:t>+</w:t>
            </w:r>
            <w:r>
              <w:rPr>
                <w:rFonts w:ascii="Arial" w:hAnsi="Arial" w:eastAsia="Arial" w:cs="Arial"/>
                <w:w w:val="97"/>
                <w:sz w:val="18"/>
                <w:szCs w:val="20"/>
              </w:rPr>
              <w:t>12.85</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Cs w:val="20"/>
              </w:rPr>
            </w:pPr>
          </w:p>
        </w:tc>
        <w:tc>
          <w:tcPr>
            <w:tcW w:w="1580" w:type="dxa"/>
            <w:gridSpan w:val="2"/>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30–50 kkal/kg</w:t>
            </w:r>
          </w:p>
        </w:tc>
      </w:tr>
      <w:tr>
        <w:tblPrEx>
          <w:tblLayout w:type="fixed"/>
          <w:tblCellMar>
            <w:top w:w="0" w:type="dxa"/>
            <w:left w:w="0" w:type="dxa"/>
            <w:bottom w:w="0" w:type="dxa"/>
            <w:right w:w="0" w:type="dxa"/>
          </w:tblCellMar>
        </w:tblPrEx>
        <w:trPr>
          <w:gridAfter w:val="3"/>
          <w:wAfter w:w="3040" w:type="dxa"/>
          <w:trHeight w:val="212"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110.73</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98.97</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4"/>
                <w:sz w:val="18"/>
                <w:szCs w:val="20"/>
              </w:rPr>
            </w:pPr>
            <w:r>
              <w:rPr>
                <w:rFonts w:ascii="Arial" w:hAnsi="Arial" w:eastAsia="Arial" w:cs="Arial"/>
                <w:w w:val="84"/>
                <w:sz w:val="18"/>
                <w:szCs w:val="20"/>
              </w:rPr>
              <w:t>98.61</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96.29</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gridAfter w:val="3"/>
          <w:wAfter w:w="3040" w:type="dxa"/>
          <w:trHeight w:val="227"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Protein (g/kg/day)</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2.28</w:t>
            </w:r>
            <w:r>
              <w:rPr>
                <w:rFonts w:ascii="Times New Roman" w:hAnsi="Times New Roman" w:eastAsia="Times New Roman" w:cs="Arial"/>
                <w:w w:val="99"/>
                <w:sz w:val="18"/>
                <w:szCs w:val="20"/>
              </w:rPr>
              <w:t>+</w:t>
            </w:r>
            <w:r>
              <w:rPr>
                <w:rFonts w:ascii="Arial" w:hAnsi="Arial" w:eastAsia="Arial" w:cs="Arial"/>
                <w:w w:val="99"/>
                <w:sz w:val="18"/>
                <w:szCs w:val="20"/>
              </w:rPr>
              <w:t>0.96</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1.79</w:t>
            </w:r>
            <w:r>
              <w:rPr>
                <w:rFonts w:ascii="Times New Roman" w:hAnsi="Times New Roman" w:eastAsia="Times New Roman" w:cs="Arial"/>
                <w:w w:val="97"/>
                <w:sz w:val="18"/>
                <w:szCs w:val="20"/>
              </w:rPr>
              <w:t>+</w:t>
            </w:r>
            <w:r>
              <w:rPr>
                <w:rFonts w:ascii="Arial" w:hAnsi="Arial" w:eastAsia="Arial" w:cs="Arial"/>
                <w:w w:val="97"/>
                <w:sz w:val="18"/>
                <w:szCs w:val="20"/>
              </w:rPr>
              <w:t>0.69</w:t>
            </w:r>
          </w:p>
        </w:tc>
        <w:tc>
          <w:tcPr>
            <w:tcW w:w="154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w w:val="99"/>
                <w:sz w:val="18"/>
                <w:szCs w:val="20"/>
              </w:rPr>
            </w:pPr>
            <w:r>
              <w:rPr>
                <w:rFonts w:ascii="Arial" w:hAnsi="Arial" w:eastAsia="Arial" w:cs="Arial"/>
                <w:w w:val="99"/>
                <w:sz w:val="18"/>
                <w:szCs w:val="20"/>
              </w:rPr>
              <w:t>1.41</w:t>
            </w:r>
            <w:r>
              <w:rPr>
                <w:rFonts w:ascii="Times New Roman" w:hAnsi="Times New Roman" w:eastAsia="Times New Roman" w:cs="Arial"/>
                <w:w w:val="99"/>
                <w:sz w:val="18"/>
                <w:szCs w:val="20"/>
              </w:rPr>
              <w:t>+</w:t>
            </w:r>
            <w:r>
              <w:rPr>
                <w:rFonts w:ascii="Arial" w:hAnsi="Arial" w:eastAsia="Arial" w:cs="Arial"/>
                <w:w w:val="99"/>
                <w:sz w:val="18"/>
                <w:szCs w:val="20"/>
              </w:rPr>
              <w:t>0.23</w:t>
            </w:r>
          </w:p>
        </w:tc>
        <w:tc>
          <w:tcPr>
            <w:tcW w:w="156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w w:val="97"/>
                <w:sz w:val="18"/>
                <w:szCs w:val="20"/>
              </w:rPr>
            </w:pPr>
            <w:r>
              <w:rPr>
                <w:rFonts w:ascii="Arial" w:hAnsi="Arial" w:eastAsia="Arial" w:cs="Arial"/>
                <w:w w:val="97"/>
                <w:sz w:val="18"/>
                <w:szCs w:val="20"/>
              </w:rPr>
              <w:t>1.83</w:t>
            </w:r>
            <w:r>
              <w:rPr>
                <w:rFonts w:ascii="Times New Roman" w:hAnsi="Times New Roman" w:eastAsia="Times New Roman" w:cs="Arial"/>
                <w:w w:val="97"/>
                <w:sz w:val="18"/>
                <w:szCs w:val="20"/>
              </w:rPr>
              <w:t>+</w:t>
            </w:r>
            <w:r>
              <w:rPr>
                <w:rFonts w:ascii="Arial" w:hAnsi="Arial" w:eastAsia="Arial" w:cs="Arial"/>
                <w:w w:val="97"/>
                <w:sz w:val="18"/>
                <w:szCs w:val="20"/>
              </w:rPr>
              <w:t>0.45</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9"/>
                <w:szCs w:val="20"/>
              </w:rPr>
            </w:pPr>
          </w:p>
        </w:tc>
        <w:tc>
          <w:tcPr>
            <w:tcW w:w="1580" w:type="dxa"/>
            <w:gridSpan w:val="2"/>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1.2–1.7 g/kg</w:t>
            </w:r>
          </w:p>
        </w:tc>
      </w:tr>
      <w:tr>
        <w:tblPrEx>
          <w:tblLayout w:type="fixed"/>
          <w:tblCellMar>
            <w:top w:w="0" w:type="dxa"/>
            <w:left w:w="0" w:type="dxa"/>
            <w:bottom w:w="0" w:type="dxa"/>
            <w:right w:w="0" w:type="dxa"/>
          </w:tblCellMar>
        </w:tblPrEx>
        <w:trPr>
          <w:gridAfter w:val="3"/>
          <w:wAfter w:w="3040" w:type="dxa"/>
          <w:trHeight w:val="211"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239.58</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188.48</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148.01</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7"/>
                <w:sz w:val="18"/>
                <w:szCs w:val="20"/>
              </w:rPr>
            </w:pPr>
            <w:r>
              <w:rPr>
                <w:rFonts w:ascii="Arial" w:hAnsi="Arial" w:eastAsia="Arial" w:cs="Arial"/>
                <w:w w:val="87"/>
                <w:sz w:val="18"/>
                <w:szCs w:val="20"/>
              </w:rPr>
              <w:t>192.22</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gridAfter w:val="3"/>
          <w:wAfter w:w="3040" w:type="dxa"/>
          <w:trHeight w:val="228"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b/>
                <w:sz w:val="18"/>
                <w:szCs w:val="20"/>
              </w:rPr>
            </w:pPr>
            <w:r>
              <w:rPr>
                <w:rFonts w:ascii="Arial" w:hAnsi="Arial" w:eastAsia="Arial" w:cs="Arial"/>
                <w:b/>
                <w:sz w:val="18"/>
                <w:szCs w:val="20"/>
              </w:rPr>
              <w:t>Karbohidrat (g/kg/day)</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99"/>
                <w:sz w:val="18"/>
                <w:szCs w:val="20"/>
              </w:rPr>
            </w:pPr>
            <w:r>
              <w:rPr>
                <w:rFonts w:ascii="Arial" w:hAnsi="Arial" w:eastAsia="Arial" w:cs="Arial"/>
                <w:b/>
                <w:w w:val="99"/>
                <w:sz w:val="18"/>
                <w:szCs w:val="20"/>
              </w:rPr>
              <w:t>5.59</w:t>
            </w:r>
            <w:r>
              <w:rPr>
                <w:rFonts w:ascii="Times New Roman" w:hAnsi="Times New Roman" w:eastAsia="Times New Roman" w:cs="Arial"/>
                <w:b/>
                <w:w w:val="99"/>
                <w:sz w:val="18"/>
                <w:szCs w:val="20"/>
              </w:rPr>
              <w:t>+</w:t>
            </w:r>
            <w:r>
              <w:rPr>
                <w:rFonts w:ascii="Arial" w:hAnsi="Arial" w:eastAsia="Arial" w:cs="Arial"/>
                <w:b/>
                <w:w w:val="99"/>
                <w:sz w:val="18"/>
                <w:szCs w:val="20"/>
              </w:rPr>
              <w:t>2.17</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97"/>
                <w:sz w:val="18"/>
                <w:szCs w:val="20"/>
              </w:rPr>
            </w:pPr>
            <w:r>
              <w:rPr>
                <w:rFonts w:ascii="Arial" w:hAnsi="Arial" w:eastAsia="Arial" w:cs="Arial"/>
                <w:b/>
                <w:w w:val="97"/>
                <w:sz w:val="18"/>
                <w:szCs w:val="20"/>
              </w:rPr>
              <w:t>5.60</w:t>
            </w:r>
            <w:r>
              <w:rPr>
                <w:rFonts w:ascii="Times New Roman" w:hAnsi="Times New Roman" w:eastAsia="Times New Roman" w:cs="Arial"/>
                <w:b/>
                <w:w w:val="97"/>
                <w:sz w:val="18"/>
                <w:szCs w:val="20"/>
              </w:rPr>
              <w:t>+</w:t>
            </w:r>
            <w:r>
              <w:rPr>
                <w:rFonts w:ascii="Arial" w:hAnsi="Arial" w:eastAsia="Arial" w:cs="Arial"/>
                <w:b/>
                <w:w w:val="97"/>
                <w:sz w:val="18"/>
                <w:szCs w:val="20"/>
              </w:rPr>
              <w:t>1.15</w:t>
            </w:r>
          </w:p>
        </w:tc>
        <w:tc>
          <w:tcPr>
            <w:tcW w:w="154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b/>
                <w:w w:val="99"/>
                <w:sz w:val="18"/>
                <w:szCs w:val="20"/>
              </w:rPr>
            </w:pPr>
            <w:r>
              <w:rPr>
                <w:rFonts w:ascii="Arial" w:hAnsi="Arial" w:eastAsia="Arial" w:cs="Arial"/>
                <w:b/>
                <w:w w:val="99"/>
                <w:sz w:val="18"/>
                <w:szCs w:val="20"/>
              </w:rPr>
              <w:t>5.46</w:t>
            </w:r>
            <w:r>
              <w:rPr>
                <w:rFonts w:ascii="Times New Roman" w:hAnsi="Times New Roman" w:eastAsia="Times New Roman" w:cs="Arial"/>
                <w:b/>
                <w:w w:val="99"/>
                <w:sz w:val="18"/>
                <w:szCs w:val="20"/>
              </w:rPr>
              <w:t>+</w:t>
            </w:r>
            <w:r>
              <w:rPr>
                <w:rFonts w:ascii="Arial" w:hAnsi="Arial" w:eastAsia="Arial" w:cs="Arial"/>
                <w:b/>
                <w:w w:val="99"/>
                <w:sz w:val="18"/>
                <w:szCs w:val="20"/>
              </w:rPr>
              <w:t>1.41</w:t>
            </w:r>
          </w:p>
        </w:tc>
        <w:tc>
          <w:tcPr>
            <w:tcW w:w="156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b/>
                <w:w w:val="97"/>
                <w:sz w:val="18"/>
                <w:szCs w:val="20"/>
              </w:rPr>
            </w:pPr>
            <w:r>
              <w:rPr>
                <w:rFonts w:ascii="Arial" w:hAnsi="Arial" w:eastAsia="Arial" w:cs="Arial"/>
                <w:b/>
                <w:w w:val="97"/>
                <w:sz w:val="18"/>
                <w:szCs w:val="20"/>
              </w:rPr>
              <w:t>5.49</w:t>
            </w:r>
            <w:r>
              <w:rPr>
                <w:rFonts w:ascii="Times New Roman" w:hAnsi="Times New Roman" w:eastAsia="Times New Roman" w:cs="Arial"/>
                <w:b/>
                <w:w w:val="97"/>
                <w:sz w:val="18"/>
                <w:szCs w:val="20"/>
              </w:rPr>
              <w:t>+</w:t>
            </w:r>
            <w:r>
              <w:rPr>
                <w:rFonts w:ascii="Arial" w:hAnsi="Arial" w:eastAsia="Arial" w:cs="Arial"/>
                <w:b/>
                <w:w w:val="97"/>
                <w:sz w:val="18"/>
                <w:szCs w:val="20"/>
              </w:rPr>
              <w:t>2.71</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b/>
                <w:sz w:val="19"/>
                <w:szCs w:val="20"/>
              </w:rPr>
            </w:pPr>
          </w:p>
        </w:tc>
        <w:tc>
          <w:tcPr>
            <w:tcW w:w="1580" w:type="dxa"/>
            <w:gridSpan w:val="2"/>
            <w:shd w:val="clear" w:color="auto" w:fill="auto"/>
            <w:vAlign w:val="bottom"/>
          </w:tcPr>
          <w:p>
            <w:pPr>
              <w:spacing w:after="0" w:line="0" w:lineRule="atLeast"/>
              <w:rPr>
                <w:rFonts w:ascii="Arial" w:hAnsi="Arial" w:eastAsia="Arial" w:cs="Arial"/>
                <w:b/>
                <w:sz w:val="18"/>
                <w:szCs w:val="20"/>
              </w:rPr>
            </w:pPr>
            <w:r>
              <w:rPr>
                <w:rFonts w:ascii="Arial" w:hAnsi="Arial" w:eastAsia="Arial" w:cs="Arial"/>
                <w:b/>
                <w:sz w:val="18"/>
                <w:szCs w:val="20"/>
              </w:rPr>
              <w:t>5–10 g/kg</w:t>
            </w:r>
          </w:p>
        </w:tc>
      </w:tr>
      <w:tr>
        <w:tblPrEx>
          <w:tblLayout w:type="fixed"/>
          <w:tblCellMar>
            <w:top w:w="0" w:type="dxa"/>
            <w:left w:w="0" w:type="dxa"/>
            <w:bottom w:w="0" w:type="dxa"/>
            <w:right w:w="0" w:type="dxa"/>
          </w:tblCellMar>
        </w:tblPrEx>
        <w:trPr>
          <w:gridAfter w:val="3"/>
          <w:wAfter w:w="3040" w:type="dxa"/>
          <w:trHeight w:val="211"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b/>
                <w:sz w:val="18"/>
                <w:szCs w:val="20"/>
              </w:rPr>
            </w:pPr>
            <w:r>
              <w:rPr>
                <w:rFonts w:ascii="Arial" w:hAnsi="Arial" w:eastAsia="Arial" w:cs="Arial"/>
                <w:b/>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88"/>
                <w:sz w:val="18"/>
                <w:szCs w:val="20"/>
              </w:rPr>
            </w:pPr>
            <w:r>
              <w:rPr>
                <w:rFonts w:ascii="Arial" w:hAnsi="Arial" w:eastAsia="Arial" w:cs="Arial"/>
                <w:b/>
                <w:w w:val="88"/>
                <w:sz w:val="18"/>
                <w:szCs w:val="20"/>
              </w:rPr>
              <w:t>74.53</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88"/>
                <w:sz w:val="18"/>
                <w:szCs w:val="20"/>
              </w:rPr>
            </w:pPr>
            <w:r>
              <w:rPr>
                <w:rFonts w:ascii="Arial" w:hAnsi="Arial" w:eastAsia="Arial" w:cs="Arial"/>
                <w:b/>
                <w:w w:val="88"/>
                <w:sz w:val="18"/>
                <w:szCs w:val="20"/>
              </w:rPr>
              <w:t>74.64</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84"/>
                <w:sz w:val="18"/>
                <w:szCs w:val="20"/>
              </w:rPr>
            </w:pPr>
            <w:r>
              <w:rPr>
                <w:rFonts w:ascii="Arial" w:hAnsi="Arial" w:eastAsia="Arial" w:cs="Arial"/>
                <w:b/>
                <w:w w:val="84"/>
                <w:sz w:val="18"/>
                <w:szCs w:val="20"/>
              </w:rPr>
              <w:t>72.82</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88"/>
                <w:sz w:val="18"/>
                <w:szCs w:val="20"/>
              </w:rPr>
            </w:pPr>
            <w:r>
              <w:rPr>
                <w:rFonts w:ascii="Arial" w:hAnsi="Arial" w:eastAsia="Arial" w:cs="Arial"/>
                <w:b/>
                <w:w w:val="88"/>
                <w:sz w:val="18"/>
                <w:szCs w:val="20"/>
              </w:rPr>
              <w:t>73.19</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b/>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b/>
                <w:sz w:val="18"/>
                <w:szCs w:val="20"/>
              </w:rPr>
            </w:pPr>
          </w:p>
        </w:tc>
      </w:tr>
      <w:tr>
        <w:tblPrEx>
          <w:tblLayout w:type="fixed"/>
          <w:tblCellMar>
            <w:top w:w="0" w:type="dxa"/>
            <w:left w:w="0" w:type="dxa"/>
            <w:bottom w:w="0" w:type="dxa"/>
            <w:right w:w="0" w:type="dxa"/>
          </w:tblCellMar>
        </w:tblPrEx>
        <w:trPr>
          <w:gridAfter w:val="3"/>
          <w:wAfter w:w="3040" w:type="dxa"/>
          <w:trHeight w:val="227"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b/>
                <w:sz w:val="18"/>
                <w:szCs w:val="20"/>
              </w:rPr>
            </w:pPr>
            <w:r>
              <w:rPr>
                <w:rFonts w:ascii="Arial" w:hAnsi="Arial" w:eastAsia="Arial" w:cs="Arial"/>
                <w:b/>
                <w:sz w:val="18"/>
                <w:szCs w:val="20"/>
              </w:rPr>
              <w:t>Total serat (g/hari)</w:t>
            </w:r>
          </w:p>
        </w:tc>
        <w:tc>
          <w:tcPr>
            <w:tcW w:w="1640" w:type="dxa"/>
            <w:gridSpan w:val="2"/>
            <w:tcBorders>
              <w:left w:val="single" w:color="auto" w:sz="4" w:space="0"/>
              <w:right w:val="single" w:color="auto" w:sz="4" w:space="0"/>
            </w:tcBorders>
            <w:shd w:val="clear" w:color="auto" w:fill="auto"/>
            <w:vAlign w:val="bottom"/>
          </w:tcPr>
          <w:p>
            <w:pPr>
              <w:spacing w:after="0" w:line="0" w:lineRule="atLeast"/>
              <w:ind w:right="330"/>
              <w:jc w:val="right"/>
              <w:rPr>
                <w:rFonts w:ascii="Arial" w:hAnsi="Arial" w:eastAsia="Arial" w:cs="Arial"/>
                <w:b/>
                <w:sz w:val="18"/>
                <w:szCs w:val="20"/>
              </w:rPr>
            </w:pPr>
            <w:r>
              <w:rPr>
                <w:rFonts w:ascii="Arial" w:hAnsi="Arial" w:eastAsia="Arial" w:cs="Arial"/>
                <w:b/>
                <w:sz w:val="18"/>
                <w:szCs w:val="20"/>
              </w:rPr>
              <w:t>24.32</w:t>
            </w:r>
            <w:r>
              <w:rPr>
                <w:rFonts w:ascii="Times New Roman" w:hAnsi="Times New Roman" w:eastAsia="Times New Roman" w:cs="Arial"/>
                <w:b/>
                <w:sz w:val="18"/>
                <w:szCs w:val="20"/>
              </w:rPr>
              <w:t>+</w:t>
            </w:r>
            <w:r>
              <w:rPr>
                <w:rFonts w:ascii="Arial" w:hAnsi="Arial" w:eastAsia="Arial" w:cs="Arial"/>
                <w:b/>
                <w:sz w:val="18"/>
                <w:szCs w:val="20"/>
              </w:rPr>
              <w:t>7.74</w:t>
            </w:r>
          </w:p>
        </w:tc>
        <w:tc>
          <w:tcPr>
            <w:tcW w:w="1660" w:type="dxa"/>
            <w:tcBorders>
              <w:left w:val="single" w:color="auto" w:sz="4" w:space="0"/>
              <w:right w:val="single" w:color="auto" w:sz="4" w:space="0"/>
            </w:tcBorders>
            <w:shd w:val="clear" w:color="auto" w:fill="auto"/>
            <w:vAlign w:val="bottom"/>
          </w:tcPr>
          <w:p>
            <w:pPr>
              <w:spacing w:after="0" w:line="0" w:lineRule="atLeast"/>
              <w:ind w:right="350"/>
              <w:jc w:val="right"/>
              <w:rPr>
                <w:rFonts w:ascii="Arial" w:hAnsi="Arial" w:eastAsia="Arial" w:cs="Arial"/>
                <w:b/>
                <w:sz w:val="18"/>
                <w:szCs w:val="20"/>
              </w:rPr>
            </w:pPr>
            <w:r>
              <w:rPr>
                <w:rFonts w:ascii="Arial" w:hAnsi="Arial" w:eastAsia="Arial" w:cs="Arial"/>
                <w:b/>
                <w:sz w:val="18"/>
                <w:szCs w:val="20"/>
              </w:rPr>
              <w:t>22.35</w:t>
            </w:r>
            <w:r>
              <w:rPr>
                <w:rFonts w:ascii="Times New Roman" w:hAnsi="Times New Roman" w:eastAsia="Times New Roman" w:cs="Arial"/>
                <w:b/>
                <w:sz w:val="18"/>
                <w:szCs w:val="20"/>
              </w:rPr>
              <w:t>+</w:t>
            </w:r>
            <w:r>
              <w:rPr>
                <w:rFonts w:ascii="Arial" w:hAnsi="Arial" w:eastAsia="Arial" w:cs="Arial"/>
                <w:b/>
                <w:sz w:val="18"/>
                <w:szCs w:val="20"/>
              </w:rPr>
              <w:t>4.29</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99"/>
                <w:sz w:val="18"/>
                <w:szCs w:val="20"/>
              </w:rPr>
            </w:pPr>
            <w:r>
              <w:rPr>
                <w:rFonts w:ascii="Arial" w:hAnsi="Arial" w:eastAsia="Arial" w:cs="Arial"/>
                <w:b/>
                <w:w w:val="99"/>
                <w:sz w:val="18"/>
                <w:szCs w:val="20"/>
              </w:rPr>
              <w:t>25.78</w:t>
            </w:r>
            <w:r>
              <w:rPr>
                <w:rFonts w:ascii="Times New Roman" w:hAnsi="Times New Roman" w:eastAsia="Times New Roman" w:cs="Arial"/>
                <w:b/>
                <w:w w:val="99"/>
                <w:sz w:val="18"/>
                <w:szCs w:val="20"/>
              </w:rPr>
              <w:t>+</w:t>
            </w:r>
            <w:r>
              <w:rPr>
                <w:rFonts w:ascii="Arial" w:hAnsi="Arial" w:eastAsia="Arial" w:cs="Arial"/>
                <w:b/>
                <w:w w:val="99"/>
                <w:sz w:val="18"/>
                <w:szCs w:val="20"/>
              </w:rPr>
              <w:t>3.38</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w w:val="97"/>
                <w:sz w:val="18"/>
                <w:szCs w:val="20"/>
              </w:rPr>
            </w:pPr>
            <w:r>
              <w:rPr>
                <w:rFonts w:ascii="Arial" w:hAnsi="Arial" w:eastAsia="Arial" w:cs="Arial"/>
                <w:b/>
                <w:w w:val="97"/>
                <w:sz w:val="18"/>
                <w:szCs w:val="20"/>
              </w:rPr>
              <w:t>24.16</w:t>
            </w:r>
            <w:r>
              <w:rPr>
                <w:rFonts w:ascii="Times New Roman" w:hAnsi="Times New Roman" w:eastAsia="Times New Roman" w:cs="Arial"/>
                <w:b/>
                <w:w w:val="97"/>
                <w:sz w:val="18"/>
                <w:szCs w:val="20"/>
              </w:rPr>
              <w:t>+</w:t>
            </w:r>
            <w:r>
              <w:rPr>
                <w:rFonts w:ascii="Arial" w:hAnsi="Arial" w:eastAsia="Arial" w:cs="Arial"/>
                <w:b/>
                <w:w w:val="97"/>
                <w:sz w:val="18"/>
                <w:szCs w:val="20"/>
              </w:rPr>
              <w:t>8.96</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b/>
                <w:sz w:val="19"/>
                <w:szCs w:val="20"/>
              </w:rPr>
            </w:pPr>
          </w:p>
        </w:tc>
        <w:tc>
          <w:tcPr>
            <w:tcW w:w="1580" w:type="dxa"/>
            <w:gridSpan w:val="2"/>
            <w:shd w:val="clear" w:color="auto" w:fill="auto"/>
            <w:vAlign w:val="bottom"/>
          </w:tcPr>
          <w:p>
            <w:pPr>
              <w:spacing w:after="0" w:line="0" w:lineRule="atLeast"/>
              <w:rPr>
                <w:rFonts w:ascii="Arial" w:hAnsi="Arial" w:eastAsia="Arial" w:cs="Arial"/>
                <w:b/>
                <w:sz w:val="18"/>
                <w:szCs w:val="20"/>
              </w:rPr>
            </w:pPr>
            <w:r>
              <w:rPr>
                <w:rFonts w:ascii="Arial" w:hAnsi="Arial" w:eastAsia="Arial" w:cs="Arial"/>
                <w:b/>
                <w:sz w:val="18"/>
                <w:szCs w:val="20"/>
              </w:rPr>
              <w:t>25 g/hari</w:t>
            </w:r>
          </w:p>
        </w:tc>
      </w:tr>
      <w:tr>
        <w:tblPrEx>
          <w:tblLayout w:type="fixed"/>
          <w:tblCellMar>
            <w:top w:w="0" w:type="dxa"/>
            <w:left w:w="0" w:type="dxa"/>
            <w:bottom w:w="0" w:type="dxa"/>
            <w:right w:w="0" w:type="dxa"/>
          </w:tblCellMar>
        </w:tblPrEx>
        <w:trPr>
          <w:gridAfter w:val="3"/>
          <w:wAfter w:w="3040" w:type="dxa"/>
          <w:trHeight w:val="220"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b/>
                <w:sz w:val="18"/>
                <w:szCs w:val="20"/>
              </w:rPr>
            </w:pPr>
            <w:r>
              <w:rPr>
                <w:rFonts w:ascii="Arial" w:hAnsi="Arial" w:eastAsia="Arial" w:cs="Arial"/>
                <w:b/>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sz w:val="18"/>
                <w:szCs w:val="20"/>
              </w:rPr>
            </w:pPr>
            <w:r>
              <w:rPr>
                <w:rFonts w:ascii="Arial" w:hAnsi="Arial" w:eastAsia="Arial" w:cs="Arial"/>
                <w:b/>
                <w:sz w:val="18"/>
                <w:szCs w:val="20"/>
              </w:rPr>
              <w:t>97</w:t>
            </w:r>
            <w:r>
              <w:rPr>
                <w:rFonts w:ascii="Times New Roman" w:hAnsi="Times New Roman" w:eastAsia="Times New Roman" w:cs="Arial"/>
                <w:b/>
                <w:sz w:val="18"/>
                <w:szCs w:val="20"/>
              </w:rPr>
              <w:t>+</w:t>
            </w:r>
            <w:r>
              <w:rPr>
                <w:rFonts w:ascii="Arial" w:hAnsi="Arial" w:eastAsia="Arial" w:cs="Arial"/>
                <w:b/>
                <w:sz w:val="18"/>
                <w:szCs w:val="20"/>
              </w:rPr>
              <w:t>31</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sz w:val="18"/>
                <w:szCs w:val="20"/>
              </w:rPr>
            </w:pPr>
            <w:r>
              <w:rPr>
                <w:rFonts w:ascii="Arial" w:hAnsi="Arial" w:eastAsia="Arial" w:cs="Arial"/>
                <w:b/>
                <w:sz w:val="18"/>
                <w:szCs w:val="20"/>
              </w:rPr>
              <w:t>89</w:t>
            </w:r>
            <w:r>
              <w:rPr>
                <w:rFonts w:ascii="Times New Roman" w:hAnsi="Times New Roman" w:eastAsia="Times New Roman" w:cs="Arial"/>
                <w:b/>
                <w:sz w:val="18"/>
                <w:szCs w:val="20"/>
              </w:rPr>
              <w:t>+</w:t>
            </w:r>
            <w:r>
              <w:rPr>
                <w:rFonts w:ascii="Arial" w:hAnsi="Arial" w:eastAsia="Arial" w:cs="Arial"/>
                <w:b/>
                <w:sz w:val="18"/>
                <w:szCs w:val="20"/>
              </w:rPr>
              <w:t>17</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sz w:val="18"/>
                <w:szCs w:val="20"/>
              </w:rPr>
            </w:pPr>
            <w:r>
              <w:rPr>
                <w:rFonts w:ascii="Arial" w:hAnsi="Arial" w:eastAsia="Arial" w:cs="Arial"/>
                <w:b/>
                <w:sz w:val="18"/>
                <w:szCs w:val="20"/>
              </w:rPr>
              <w:t>103</w:t>
            </w:r>
            <w:r>
              <w:rPr>
                <w:rFonts w:ascii="Times New Roman" w:hAnsi="Times New Roman" w:eastAsia="Times New Roman" w:cs="Arial"/>
                <w:b/>
                <w:sz w:val="18"/>
                <w:szCs w:val="20"/>
              </w:rPr>
              <w:t>+</w:t>
            </w:r>
            <w:r>
              <w:rPr>
                <w:rFonts w:ascii="Arial" w:hAnsi="Arial" w:eastAsia="Arial" w:cs="Arial"/>
                <w:b/>
                <w:sz w:val="18"/>
                <w:szCs w:val="20"/>
              </w:rPr>
              <w:t>13</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b/>
                <w:sz w:val="18"/>
                <w:szCs w:val="20"/>
              </w:rPr>
            </w:pPr>
            <w:r>
              <w:rPr>
                <w:rFonts w:ascii="Arial" w:hAnsi="Arial" w:eastAsia="Arial" w:cs="Arial"/>
                <w:b/>
                <w:sz w:val="18"/>
                <w:szCs w:val="20"/>
              </w:rPr>
              <w:t>97</w:t>
            </w:r>
            <w:r>
              <w:rPr>
                <w:rFonts w:ascii="Times New Roman" w:hAnsi="Times New Roman" w:eastAsia="Times New Roman" w:cs="Arial"/>
                <w:b/>
                <w:sz w:val="18"/>
                <w:szCs w:val="20"/>
              </w:rPr>
              <w:t>+</w:t>
            </w:r>
            <w:r>
              <w:rPr>
                <w:rFonts w:ascii="Arial" w:hAnsi="Arial" w:eastAsia="Arial" w:cs="Arial"/>
                <w:b/>
                <w:sz w:val="18"/>
                <w:szCs w:val="20"/>
              </w:rPr>
              <w:t>36</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b/>
                <w:sz w:val="19"/>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b/>
                <w:sz w:val="19"/>
                <w:szCs w:val="20"/>
              </w:rPr>
            </w:pPr>
          </w:p>
        </w:tc>
      </w:tr>
      <w:tr>
        <w:tblPrEx>
          <w:tblLayout w:type="fixed"/>
          <w:tblCellMar>
            <w:top w:w="0" w:type="dxa"/>
            <w:left w:w="0" w:type="dxa"/>
            <w:bottom w:w="0" w:type="dxa"/>
            <w:right w:w="0" w:type="dxa"/>
          </w:tblCellMar>
        </w:tblPrEx>
        <w:trPr>
          <w:gridAfter w:val="3"/>
          <w:wAfter w:w="3040" w:type="dxa"/>
          <w:trHeight w:val="219"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Lemak (g/kg/hari)</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1.42</w:t>
            </w:r>
            <w:r>
              <w:rPr>
                <w:rFonts w:ascii="Times New Roman" w:hAnsi="Times New Roman" w:eastAsia="Times New Roman" w:cs="Arial"/>
                <w:w w:val="99"/>
                <w:sz w:val="18"/>
                <w:szCs w:val="20"/>
              </w:rPr>
              <w:t>+</w:t>
            </w:r>
            <w:r>
              <w:rPr>
                <w:rFonts w:ascii="Arial" w:hAnsi="Arial" w:eastAsia="Arial" w:cs="Arial"/>
                <w:w w:val="99"/>
                <w:sz w:val="18"/>
                <w:szCs w:val="20"/>
              </w:rPr>
              <w:t>0.64</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1.15</w:t>
            </w:r>
            <w:r>
              <w:rPr>
                <w:rFonts w:ascii="Times New Roman" w:hAnsi="Times New Roman" w:eastAsia="Times New Roman" w:cs="Arial"/>
                <w:w w:val="97"/>
                <w:sz w:val="18"/>
                <w:szCs w:val="20"/>
              </w:rPr>
              <w:t>+</w:t>
            </w:r>
            <w:r>
              <w:rPr>
                <w:rFonts w:ascii="Arial" w:hAnsi="Arial" w:eastAsia="Arial" w:cs="Arial"/>
                <w:w w:val="97"/>
                <w:sz w:val="18"/>
                <w:szCs w:val="20"/>
              </w:rPr>
              <w:t>0.01</w:t>
            </w:r>
          </w:p>
        </w:tc>
        <w:tc>
          <w:tcPr>
            <w:tcW w:w="154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w w:val="99"/>
                <w:sz w:val="18"/>
                <w:szCs w:val="20"/>
              </w:rPr>
            </w:pPr>
            <w:r>
              <w:rPr>
                <w:rFonts w:ascii="Arial" w:hAnsi="Arial" w:eastAsia="Arial" w:cs="Arial"/>
                <w:w w:val="99"/>
                <w:sz w:val="18"/>
                <w:szCs w:val="20"/>
              </w:rPr>
              <w:t>1.37</w:t>
            </w:r>
            <w:r>
              <w:rPr>
                <w:rFonts w:ascii="Times New Roman" w:hAnsi="Times New Roman" w:eastAsia="Times New Roman" w:cs="Arial"/>
                <w:w w:val="99"/>
                <w:sz w:val="18"/>
                <w:szCs w:val="20"/>
              </w:rPr>
              <w:t>+</w:t>
            </w:r>
            <w:r>
              <w:rPr>
                <w:rFonts w:ascii="Arial" w:hAnsi="Arial" w:eastAsia="Arial" w:cs="Arial"/>
                <w:w w:val="99"/>
                <w:sz w:val="18"/>
                <w:szCs w:val="20"/>
              </w:rPr>
              <w:t>0.53</w:t>
            </w:r>
          </w:p>
        </w:tc>
        <w:tc>
          <w:tcPr>
            <w:tcW w:w="156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w w:val="97"/>
                <w:sz w:val="18"/>
                <w:szCs w:val="20"/>
              </w:rPr>
            </w:pPr>
            <w:r>
              <w:rPr>
                <w:rFonts w:ascii="Arial" w:hAnsi="Arial" w:eastAsia="Arial" w:cs="Arial"/>
                <w:w w:val="97"/>
                <w:sz w:val="18"/>
                <w:szCs w:val="20"/>
              </w:rPr>
              <w:t>1.02</w:t>
            </w:r>
            <w:r>
              <w:rPr>
                <w:rFonts w:ascii="Times New Roman" w:hAnsi="Times New Roman" w:eastAsia="Times New Roman" w:cs="Arial"/>
                <w:w w:val="97"/>
                <w:sz w:val="18"/>
                <w:szCs w:val="20"/>
              </w:rPr>
              <w:t>+</w:t>
            </w:r>
            <w:r>
              <w:rPr>
                <w:rFonts w:ascii="Arial" w:hAnsi="Arial" w:eastAsia="Arial" w:cs="Arial"/>
                <w:w w:val="97"/>
                <w:sz w:val="18"/>
                <w:szCs w:val="20"/>
              </w:rPr>
              <w:t>0.41</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9"/>
                <w:szCs w:val="20"/>
              </w:rPr>
            </w:pPr>
          </w:p>
        </w:tc>
        <w:tc>
          <w:tcPr>
            <w:tcW w:w="1580" w:type="dxa"/>
            <w:gridSpan w:val="2"/>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1 g/kg</w:t>
            </w:r>
          </w:p>
        </w:tc>
      </w:tr>
      <w:tr>
        <w:tblPrEx>
          <w:tblLayout w:type="fixed"/>
          <w:tblCellMar>
            <w:top w:w="0" w:type="dxa"/>
            <w:left w:w="0" w:type="dxa"/>
            <w:bottom w:w="0" w:type="dxa"/>
            <w:right w:w="0" w:type="dxa"/>
          </w:tblCellMar>
        </w:tblPrEx>
        <w:trPr>
          <w:gridAfter w:val="3"/>
          <w:wAfter w:w="3040" w:type="dxa"/>
          <w:trHeight w:val="211"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141.63</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114.53</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136.63</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7"/>
                <w:sz w:val="18"/>
                <w:szCs w:val="20"/>
              </w:rPr>
            </w:pPr>
            <w:r>
              <w:rPr>
                <w:rFonts w:ascii="Arial" w:hAnsi="Arial" w:eastAsia="Arial" w:cs="Arial"/>
                <w:w w:val="87"/>
                <w:sz w:val="18"/>
                <w:szCs w:val="20"/>
              </w:rPr>
              <w:t>101.98</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gridAfter w:val="3"/>
          <w:wAfter w:w="3040" w:type="dxa"/>
          <w:trHeight w:val="219"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SFA</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5"/>
                <w:sz w:val="18"/>
                <w:szCs w:val="20"/>
              </w:rPr>
            </w:pPr>
            <w:r>
              <w:rPr>
                <w:rFonts w:ascii="Arial" w:hAnsi="Arial" w:eastAsia="Arial" w:cs="Arial"/>
                <w:w w:val="85"/>
                <w:sz w:val="18"/>
                <w:szCs w:val="20"/>
              </w:rPr>
              <w:t>8.69</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5"/>
                <w:sz w:val="18"/>
                <w:szCs w:val="20"/>
              </w:rPr>
            </w:pPr>
            <w:r>
              <w:rPr>
                <w:rFonts w:ascii="Arial" w:hAnsi="Arial" w:eastAsia="Arial" w:cs="Arial"/>
                <w:w w:val="85"/>
                <w:sz w:val="18"/>
                <w:szCs w:val="20"/>
              </w:rPr>
              <w:t>7.84</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5"/>
                <w:sz w:val="18"/>
                <w:szCs w:val="20"/>
              </w:rPr>
            </w:pPr>
            <w:r>
              <w:rPr>
                <w:rFonts w:ascii="Arial" w:hAnsi="Arial" w:eastAsia="Arial" w:cs="Arial"/>
                <w:w w:val="85"/>
                <w:sz w:val="18"/>
                <w:szCs w:val="20"/>
              </w:rPr>
              <w:t>9.37</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1"/>
                <w:sz w:val="18"/>
                <w:szCs w:val="20"/>
              </w:rPr>
            </w:pPr>
            <w:r>
              <w:rPr>
                <w:rFonts w:ascii="Arial" w:hAnsi="Arial" w:eastAsia="Arial" w:cs="Arial"/>
                <w:w w:val="91"/>
                <w:sz w:val="18"/>
                <w:szCs w:val="20"/>
              </w:rPr>
              <w:t>7.01</w:t>
            </w:r>
          </w:p>
        </w:tc>
        <w:tc>
          <w:tcPr>
            <w:tcW w:w="2080" w:type="dxa"/>
            <w:gridSpan w:val="3"/>
            <w:tcBorders>
              <w:left w:val="single" w:color="auto" w:sz="4" w:space="0"/>
            </w:tcBorders>
            <w:shd w:val="clear" w:color="auto" w:fill="auto"/>
            <w:vAlign w:val="bottom"/>
          </w:tcPr>
          <w:p>
            <w:pPr>
              <w:spacing w:after="0" w:line="0" w:lineRule="atLeast"/>
              <w:ind w:left="500"/>
              <w:rPr>
                <w:rFonts w:ascii="Arial" w:hAnsi="Arial" w:eastAsia="Arial" w:cs="Arial"/>
                <w:w w:val="91"/>
                <w:sz w:val="18"/>
                <w:szCs w:val="20"/>
              </w:rPr>
            </w:pPr>
            <w:r>
              <w:rPr>
                <w:rFonts w:ascii="Arial" w:hAnsi="Arial" w:eastAsia="Arial" w:cs="Arial"/>
                <w:w w:val="91"/>
                <w:sz w:val="18"/>
                <w:szCs w:val="20"/>
              </w:rPr>
              <w:t>&lt; 10% energi total</w:t>
            </w:r>
          </w:p>
        </w:tc>
      </w:tr>
      <w:tr>
        <w:tblPrEx>
          <w:tblLayout w:type="fixed"/>
          <w:tblCellMar>
            <w:top w:w="0" w:type="dxa"/>
            <w:left w:w="0" w:type="dxa"/>
            <w:bottom w:w="0" w:type="dxa"/>
            <w:right w:w="0" w:type="dxa"/>
          </w:tblCellMar>
        </w:tblPrEx>
        <w:trPr>
          <w:gridAfter w:val="3"/>
          <w:wAfter w:w="3040" w:type="dxa"/>
          <w:trHeight w:val="220"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86.90</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4"/>
                <w:sz w:val="18"/>
                <w:szCs w:val="20"/>
              </w:rPr>
            </w:pPr>
            <w:r>
              <w:rPr>
                <w:rFonts w:ascii="Arial" w:hAnsi="Arial" w:eastAsia="Arial" w:cs="Arial"/>
                <w:w w:val="84"/>
                <w:sz w:val="18"/>
                <w:szCs w:val="20"/>
              </w:rPr>
              <w:t>78.41</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4"/>
                <w:sz w:val="18"/>
                <w:szCs w:val="20"/>
              </w:rPr>
            </w:pPr>
            <w:r>
              <w:rPr>
                <w:rFonts w:ascii="Arial" w:hAnsi="Arial" w:eastAsia="Arial" w:cs="Arial"/>
                <w:w w:val="84"/>
                <w:sz w:val="18"/>
                <w:szCs w:val="20"/>
              </w:rPr>
              <w:t>93.67</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70.13</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9"/>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9"/>
                <w:szCs w:val="20"/>
              </w:rPr>
            </w:pPr>
          </w:p>
        </w:tc>
      </w:tr>
      <w:tr>
        <w:tblPrEx>
          <w:tblLayout w:type="fixed"/>
          <w:tblCellMar>
            <w:top w:w="0" w:type="dxa"/>
            <w:left w:w="0" w:type="dxa"/>
            <w:bottom w:w="0" w:type="dxa"/>
            <w:right w:w="0" w:type="dxa"/>
          </w:tblCellMar>
        </w:tblPrEx>
        <w:trPr>
          <w:gridAfter w:val="3"/>
          <w:wAfter w:w="3040" w:type="dxa"/>
          <w:trHeight w:val="227"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PUFA</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9.00</w:t>
            </w:r>
            <w:r>
              <w:rPr>
                <w:rFonts w:ascii="Times New Roman" w:hAnsi="Times New Roman" w:eastAsia="Times New Roman" w:cs="Arial"/>
                <w:w w:val="99"/>
                <w:sz w:val="18"/>
                <w:szCs w:val="20"/>
              </w:rPr>
              <w:t>+</w:t>
            </w:r>
            <w:r>
              <w:rPr>
                <w:rFonts w:ascii="Arial" w:hAnsi="Arial" w:eastAsia="Arial" w:cs="Arial"/>
                <w:w w:val="99"/>
                <w:sz w:val="18"/>
                <w:szCs w:val="20"/>
              </w:rPr>
              <w:t>7.39</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9.80</w:t>
            </w:r>
            <w:r>
              <w:rPr>
                <w:rFonts w:ascii="Times New Roman" w:hAnsi="Times New Roman" w:eastAsia="Times New Roman" w:cs="Arial"/>
                <w:w w:val="97"/>
                <w:sz w:val="18"/>
                <w:szCs w:val="20"/>
              </w:rPr>
              <w:t>+</w:t>
            </w:r>
            <w:r>
              <w:rPr>
                <w:rFonts w:ascii="Arial" w:hAnsi="Arial" w:eastAsia="Arial" w:cs="Arial"/>
                <w:w w:val="97"/>
                <w:sz w:val="18"/>
                <w:szCs w:val="20"/>
              </w:rPr>
              <w:t>1.73</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9"/>
                <w:sz w:val="18"/>
                <w:szCs w:val="20"/>
              </w:rPr>
            </w:pPr>
            <w:r>
              <w:rPr>
                <w:rFonts w:ascii="Arial" w:hAnsi="Arial" w:eastAsia="Arial" w:cs="Arial"/>
                <w:w w:val="99"/>
                <w:sz w:val="18"/>
                <w:szCs w:val="20"/>
              </w:rPr>
              <w:t>13.12</w:t>
            </w:r>
            <w:r>
              <w:rPr>
                <w:rFonts w:ascii="Times New Roman" w:hAnsi="Times New Roman" w:eastAsia="Times New Roman" w:cs="Arial"/>
                <w:w w:val="99"/>
                <w:sz w:val="18"/>
                <w:szCs w:val="20"/>
              </w:rPr>
              <w:t>+</w:t>
            </w:r>
            <w:r>
              <w:rPr>
                <w:rFonts w:ascii="Arial" w:hAnsi="Arial" w:eastAsia="Arial" w:cs="Arial"/>
                <w:w w:val="99"/>
                <w:sz w:val="18"/>
                <w:szCs w:val="20"/>
              </w:rPr>
              <w:t>4.40</w:t>
            </w:r>
          </w:p>
        </w:tc>
        <w:tc>
          <w:tcPr>
            <w:tcW w:w="1560" w:type="dxa"/>
            <w:tcBorders>
              <w:left w:val="single" w:color="auto" w:sz="4" w:space="0"/>
              <w:right w:val="single" w:color="auto" w:sz="4" w:space="0"/>
            </w:tcBorders>
            <w:shd w:val="clear" w:color="auto" w:fill="auto"/>
            <w:vAlign w:val="bottom"/>
          </w:tcPr>
          <w:p>
            <w:pPr>
              <w:spacing w:after="0" w:line="0" w:lineRule="atLeast"/>
              <w:ind w:left="10"/>
              <w:jc w:val="center"/>
              <w:rPr>
                <w:rFonts w:ascii="Arial" w:hAnsi="Arial" w:eastAsia="Arial" w:cs="Arial"/>
                <w:w w:val="97"/>
                <w:sz w:val="18"/>
                <w:szCs w:val="20"/>
              </w:rPr>
            </w:pPr>
            <w:r>
              <w:rPr>
                <w:rFonts w:ascii="Arial" w:hAnsi="Arial" w:eastAsia="Arial" w:cs="Arial"/>
                <w:w w:val="97"/>
                <w:sz w:val="18"/>
                <w:szCs w:val="20"/>
              </w:rPr>
              <w:t>8.42</w:t>
            </w:r>
            <w:r>
              <w:rPr>
                <w:rFonts w:ascii="Times New Roman" w:hAnsi="Times New Roman" w:eastAsia="Times New Roman" w:cs="Arial"/>
                <w:w w:val="97"/>
                <w:sz w:val="18"/>
                <w:szCs w:val="20"/>
              </w:rPr>
              <w:t>+</w:t>
            </w:r>
            <w:r>
              <w:rPr>
                <w:rFonts w:ascii="Arial" w:hAnsi="Arial" w:eastAsia="Arial" w:cs="Arial"/>
                <w:w w:val="97"/>
                <w:sz w:val="18"/>
                <w:szCs w:val="20"/>
              </w:rPr>
              <w:t>4.25</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9"/>
                <w:szCs w:val="20"/>
              </w:rPr>
            </w:pPr>
          </w:p>
        </w:tc>
        <w:tc>
          <w:tcPr>
            <w:tcW w:w="1580" w:type="dxa"/>
            <w:gridSpan w:val="2"/>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10% energi total</w:t>
            </w:r>
          </w:p>
        </w:tc>
      </w:tr>
      <w:tr>
        <w:tblPrEx>
          <w:tblLayout w:type="fixed"/>
          <w:tblCellMar>
            <w:top w:w="0" w:type="dxa"/>
            <w:left w:w="0" w:type="dxa"/>
            <w:bottom w:w="0" w:type="dxa"/>
            <w:right w:w="0" w:type="dxa"/>
          </w:tblCellMar>
        </w:tblPrEx>
        <w:trPr>
          <w:gridAfter w:val="3"/>
          <w:wAfter w:w="3040" w:type="dxa"/>
          <w:trHeight w:val="211"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25.03</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26.80</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4"/>
                <w:sz w:val="18"/>
                <w:szCs w:val="20"/>
              </w:rPr>
            </w:pPr>
            <w:r>
              <w:rPr>
                <w:rFonts w:ascii="Arial" w:hAnsi="Arial" w:eastAsia="Arial" w:cs="Arial"/>
                <w:w w:val="84"/>
                <w:sz w:val="18"/>
                <w:szCs w:val="20"/>
              </w:rPr>
              <w:t>45.15</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26.74</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gridAfter w:val="3"/>
          <w:wAfter w:w="3040" w:type="dxa"/>
          <w:trHeight w:val="228"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MUFA</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23.82</w:t>
            </w:r>
            <w:r>
              <w:rPr>
                <w:rFonts w:ascii="Times New Roman" w:hAnsi="Times New Roman" w:eastAsia="Times New Roman" w:cs="Arial"/>
                <w:w w:val="97"/>
                <w:sz w:val="18"/>
                <w:szCs w:val="20"/>
              </w:rPr>
              <w:t>+</w:t>
            </w:r>
            <w:r>
              <w:rPr>
                <w:rFonts w:ascii="Arial" w:hAnsi="Arial" w:eastAsia="Arial" w:cs="Arial"/>
                <w:w w:val="97"/>
                <w:sz w:val="18"/>
                <w:szCs w:val="20"/>
              </w:rPr>
              <w:t>13.41</w:t>
            </w:r>
          </w:p>
        </w:tc>
        <w:tc>
          <w:tcPr>
            <w:tcW w:w="1660" w:type="dxa"/>
            <w:tcBorders>
              <w:left w:val="single" w:color="auto" w:sz="4" w:space="0"/>
              <w:right w:val="single" w:color="auto" w:sz="4" w:space="0"/>
            </w:tcBorders>
            <w:shd w:val="clear" w:color="auto" w:fill="auto"/>
            <w:vAlign w:val="bottom"/>
          </w:tcPr>
          <w:p>
            <w:pPr>
              <w:spacing w:after="0" w:line="0" w:lineRule="atLeast"/>
              <w:ind w:right="350"/>
              <w:jc w:val="right"/>
              <w:rPr>
                <w:rFonts w:ascii="Arial" w:hAnsi="Arial" w:eastAsia="Arial" w:cs="Arial"/>
                <w:sz w:val="18"/>
                <w:szCs w:val="20"/>
              </w:rPr>
            </w:pPr>
            <w:r>
              <w:rPr>
                <w:rFonts w:ascii="Arial" w:hAnsi="Arial" w:eastAsia="Arial" w:cs="Arial"/>
                <w:sz w:val="18"/>
                <w:szCs w:val="20"/>
              </w:rPr>
              <w:t>26.71</w:t>
            </w:r>
            <w:r>
              <w:rPr>
                <w:rFonts w:ascii="Times New Roman" w:hAnsi="Times New Roman" w:eastAsia="Times New Roman" w:cs="Arial"/>
                <w:sz w:val="18"/>
                <w:szCs w:val="20"/>
              </w:rPr>
              <w:t>+</w:t>
            </w:r>
            <w:r>
              <w:rPr>
                <w:rFonts w:ascii="Arial" w:hAnsi="Arial" w:eastAsia="Arial" w:cs="Arial"/>
                <w:sz w:val="18"/>
                <w:szCs w:val="20"/>
              </w:rPr>
              <w:t>0.01</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32.33</w:t>
            </w:r>
            <w:r>
              <w:rPr>
                <w:rFonts w:ascii="Times New Roman" w:hAnsi="Times New Roman" w:eastAsia="Times New Roman" w:cs="Arial"/>
                <w:w w:val="97"/>
                <w:sz w:val="18"/>
                <w:szCs w:val="20"/>
              </w:rPr>
              <w:t>+</w:t>
            </w:r>
            <w:r>
              <w:rPr>
                <w:rFonts w:ascii="Arial" w:hAnsi="Arial" w:eastAsia="Arial" w:cs="Arial"/>
                <w:w w:val="97"/>
                <w:sz w:val="18"/>
                <w:szCs w:val="20"/>
              </w:rPr>
              <w:t>16.63</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7"/>
                <w:sz w:val="18"/>
                <w:szCs w:val="20"/>
              </w:rPr>
            </w:pPr>
            <w:r>
              <w:rPr>
                <w:rFonts w:ascii="Arial" w:hAnsi="Arial" w:eastAsia="Arial" w:cs="Arial"/>
                <w:w w:val="97"/>
                <w:sz w:val="18"/>
                <w:szCs w:val="20"/>
              </w:rPr>
              <w:t>17.23</w:t>
            </w:r>
            <w:r>
              <w:rPr>
                <w:rFonts w:ascii="Times New Roman" w:hAnsi="Times New Roman" w:eastAsia="Times New Roman" w:cs="Arial"/>
                <w:w w:val="97"/>
                <w:sz w:val="18"/>
                <w:szCs w:val="20"/>
              </w:rPr>
              <w:t>+</w:t>
            </w:r>
            <w:r>
              <w:rPr>
                <w:rFonts w:ascii="Arial" w:hAnsi="Arial" w:eastAsia="Arial" w:cs="Arial"/>
                <w:w w:val="97"/>
                <w:sz w:val="18"/>
                <w:szCs w:val="20"/>
              </w:rPr>
              <w:t>9.51</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9"/>
                <w:szCs w:val="20"/>
              </w:rPr>
            </w:pPr>
          </w:p>
        </w:tc>
        <w:tc>
          <w:tcPr>
            <w:tcW w:w="1580" w:type="dxa"/>
            <w:gridSpan w:val="2"/>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10% energi total</w:t>
            </w:r>
          </w:p>
        </w:tc>
      </w:tr>
      <w:tr>
        <w:tblPrEx>
          <w:tblLayout w:type="fixed"/>
          <w:tblCellMar>
            <w:top w:w="0" w:type="dxa"/>
            <w:left w:w="0" w:type="dxa"/>
            <w:bottom w:w="0" w:type="dxa"/>
            <w:right w:w="0" w:type="dxa"/>
          </w:tblCellMar>
        </w:tblPrEx>
        <w:trPr>
          <w:gridAfter w:val="3"/>
          <w:wAfter w:w="3040" w:type="dxa"/>
          <w:trHeight w:val="211"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69.99</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72.48</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104.07</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8"/>
                <w:sz w:val="18"/>
                <w:szCs w:val="20"/>
              </w:rPr>
            </w:pPr>
            <w:r>
              <w:rPr>
                <w:rFonts w:ascii="Arial" w:hAnsi="Arial" w:eastAsia="Arial" w:cs="Arial"/>
                <w:w w:val="88"/>
                <w:sz w:val="18"/>
                <w:szCs w:val="20"/>
              </w:rPr>
              <w:t>59.65</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gridAfter w:val="3"/>
          <w:wAfter w:w="3040" w:type="dxa"/>
          <w:trHeight w:val="227"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Kolesterol (mg/hari)</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4"/>
                <w:sz w:val="18"/>
                <w:szCs w:val="20"/>
              </w:rPr>
            </w:pPr>
            <w:r>
              <w:rPr>
                <w:rFonts w:ascii="Arial" w:hAnsi="Arial" w:eastAsia="Arial" w:cs="Arial"/>
                <w:w w:val="94"/>
                <w:sz w:val="18"/>
                <w:szCs w:val="20"/>
              </w:rPr>
              <w:t>359.56</w:t>
            </w:r>
            <w:r>
              <w:rPr>
                <w:rFonts w:ascii="Times New Roman" w:hAnsi="Times New Roman" w:eastAsia="Times New Roman" w:cs="Arial"/>
                <w:w w:val="94"/>
                <w:sz w:val="18"/>
                <w:szCs w:val="20"/>
              </w:rPr>
              <w:t>+</w:t>
            </w:r>
            <w:r>
              <w:rPr>
                <w:rFonts w:ascii="Arial" w:hAnsi="Arial" w:eastAsia="Arial" w:cs="Arial"/>
                <w:w w:val="94"/>
                <w:sz w:val="18"/>
                <w:szCs w:val="20"/>
              </w:rPr>
              <w:t>154.93</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4"/>
                <w:sz w:val="18"/>
                <w:szCs w:val="20"/>
              </w:rPr>
            </w:pPr>
            <w:r>
              <w:rPr>
                <w:rFonts w:ascii="Arial" w:hAnsi="Arial" w:eastAsia="Arial" w:cs="Arial"/>
                <w:w w:val="94"/>
                <w:sz w:val="18"/>
                <w:szCs w:val="20"/>
              </w:rPr>
              <w:t>374.04</w:t>
            </w:r>
            <w:r>
              <w:rPr>
                <w:rFonts w:ascii="Times New Roman" w:hAnsi="Times New Roman" w:eastAsia="Times New Roman" w:cs="Arial"/>
                <w:w w:val="94"/>
                <w:sz w:val="18"/>
                <w:szCs w:val="20"/>
              </w:rPr>
              <w:t>+</w:t>
            </w:r>
            <w:r>
              <w:rPr>
                <w:rFonts w:ascii="Arial" w:hAnsi="Arial" w:eastAsia="Arial" w:cs="Arial"/>
                <w:w w:val="94"/>
                <w:sz w:val="18"/>
                <w:szCs w:val="20"/>
              </w:rPr>
              <w:t>142.07</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6"/>
                <w:sz w:val="18"/>
                <w:szCs w:val="20"/>
              </w:rPr>
            </w:pPr>
            <w:r>
              <w:rPr>
                <w:rFonts w:ascii="Arial" w:hAnsi="Arial" w:eastAsia="Arial" w:cs="Arial"/>
                <w:w w:val="96"/>
                <w:sz w:val="18"/>
                <w:szCs w:val="20"/>
              </w:rPr>
              <w:t>285.89</w:t>
            </w:r>
            <w:r>
              <w:rPr>
                <w:rFonts w:ascii="Times New Roman" w:hAnsi="Times New Roman" w:eastAsia="Times New Roman" w:cs="Arial"/>
                <w:w w:val="96"/>
                <w:sz w:val="18"/>
                <w:szCs w:val="20"/>
              </w:rPr>
              <w:t>+</w:t>
            </w:r>
            <w:r>
              <w:rPr>
                <w:rFonts w:ascii="Arial" w:hAnsi="Arial" w:eastAsia="Arial" w:cs="Arial"/>
                <w:w w:val="96"/>
                <w:sz w:val="18"/>
                <w:szCs w:val="20"/>
              </w:rPr>
              <w:t>52.97</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6"/>
                <w:sz w:val="18"/>
                <w:szCs w:val="20"/>
              </w:rPr>
            </w:pPr>
            <w:r>
              <w:rPr>
                <w:rFonts w:ascii="Arial" w:hAnsi="Arial" w:eastAsia="Arial" w:cs="Arial"/>
                <w:w w:val="96"/>
                <w:sz w:val="18"/>
                <w:szCs w:val="20"/>
              </w:rPr>
              <w:t>326.77</w:t>
            </w:r>
            <w:r>
              <w:rPr>
                <w:rFonts w:ascii="Times New Roman" w:hAnsi="Times New Roman" w:eastAsia="Times New Roman" w:cs="Arial"/>
                <w:w w:val="96"/>
                <w:sz w:val="18"/>
                <w:szCs w:val="20"/>
              </w:rPr>
              <w:t>+</w:t>
            </w:r>
            <w:r>
              <w:rPr>
                <w:rFonts w:ascii="Arial" w:hAnsi="Arial" w:eastAsia="Arial" w:cs="Arial"/>
                <w:w w:val="96"/>
                <w:sz w:val="18"/>
                <w:szCs w:val="20"/>
              </w:rPr>
              <w:t>76.44</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9"/>
                <w:szCs w:val="20"/>
              </w:rPr>
            </w:pPr>
          </w:p>
        </w:tc>
        <w:tc>
          <w:tcPr>
            <w:tcW w:w="1580" w:type="dxa"/>
            <w:gridSpan w:val="2"/>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&lt; 300 mg/hari</w:t>
            </w:r>
          </w:p>
        </w:tc>
      </w:tr>
      <w:tr>
        <w:tblPrEx>
          <w:tblLayout w:type="fixed"/>
          <w:tblCellMar>
            <w:top w:w="0" w:type="dxa"/>
            <w:left w:w="0" w:type="dxa"/>
            <w:bottom w:w="0" w:type="dxa"/>
            <w:right w:w="0" w:type="dxa"/>
          </w:tblCellMar>
        </w:tblPrEx>
        <w:trPr>
          <w:gridAfter w:val="3"/>
          <w:wAfter w:w="3040" w:type="dxa"/>
          <w:trHeight w:val="212" w:hRule="atLeast"/>
        </w:trPr>
        <w:tc>
          <w:tcPr>
            <w:tcW w:w="2020" w:type="dxa"/>
            <w:tcBorders>
              <w:left w:val="single" w:color="auto" w:sz="4" w:space="0"/>
              <w:right w:val="single" w:color="auto" w:sz="4" w:space="0"/>
            </w:tcBorders>
            <w:shd w:val="clear" w:color="auto" w:fill="auto"/>
            <w:vAlign w:val="bottom"/>
          </w:tcPr>
          <w:p>
            <w:pPr>
              <w:spacing w:after="0" w:line="0" w:lineRule="atLeast"/>
              <w:rPr>
                <w:rFonts w:ascii="Arial" w:hAnsi="Arial" w:eastAsia="Arial" w:cs="Arial"/>
                <w:sz w:val="18"/>
                <w:szCs w:val="20"/>
              </w:rPr>
            </w:pPr>
            <w:r>
              <w:rPr>
                <w:rFonts w:ascii="Arial" w:hAnsi="Arial" w:eastAsia="Arial" w:cs="Arial"/>
                <w:sz w:val="18"/>
                <w:szCs w:val="20"/>
              </w:rPr>
              <w:t>%</w:t>
            </w:r>
          </w:p>
        </w:tc>
        <w:tc>
          <w:tcPr>
            <w:tcW w:w="1640" w:type="dxa"/>
            <w:gridSpan w:val="2"/>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119.85</w:t>
            </w:r>
          </w:p>
        </w:tc>
        <w:tc>
          <w:tcPr>
            <w:tcW w:w="16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90"/>
                <w:sz w:val="18"/>
                <w:szCs w:val="20"/>
              </w:rPr>
            </w:pPr>
            <w:r>
              <w:rPr>
                <w:rFonts w:ascii="Arial" w:hAnsi="Arial" w:eastAsia="Arial" w:cs="Arial"/>
                <w:w w:val="90"/>
                <w:sz w:val="18"/>
                <w:szCs w:val="20"/>
              </w:rPr>
              <w:t>124.68</w:t>
            </w:r>
          </w:p>
        </w:tc>
        <w:tc>
          <w:tcPr>
            <w:tcW w:w="154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4"/>
                <w:sz w:val="18"/>
                <w:szCs w:val="20"/>
              </w:rPr>
            </w:pPr>
            <w:r>
              <w:rPr>
                <w:rFonts w:ascii="Arial" w:hAnsi="Arial" w:eastAsia="Arial" w:cs="Arial"/>
                <w:w w:val="84"/>
                <w:sz w:val="18"/>
                <w:szCs w:val="20"/>
              </w:rPr>
              <w:t>95.30</w:t>
            </w:r>
          </w:p>
        </w:tc>
        <w:tc>
          <w:tcPr>
            <w:tcW w:w="1560" w:type="dxa"/>
            <w:tcBorders>
              <w:left w:val="single" w:color="auto" w:sz="4" w:space="0"/>
              <w:right w:val="single" w:color="auto" w:sz="4" w:space="0"/>
            </w:tcBorders>
            <w:shd w:val="clear" w:color="auto" w:fill="auto"/>
            <w:vAlign w:val="bottom"/>
          </w:tcPr>
          <w:p>
            <w:pPr>
              <w:spacing w:after="0" w:line="0" w:lineRule="atLeast"/>
              <w:jc w:val="center"/>
              <w:rPr>
                <w:rFonts w:ascii="Arial" w:hAnsi="Arial" w:eastAsia="Arial" w:cs="Arial"/>
                <w:w w:val="87"/>
                <w:sz w:val="18"/>
                <w:szCs w:val="20"/>
              </w:rPr>
            </w:pPr>
            <w:r>
              <w:rPr>
                <w:rFonts w:ascii="Arial" w:hAnsi="Arial" w:eastAsia="Arial" w:cs="Arial"/>
                <w:w w:val="87"/>
                <w:sz w:val="18"/>
                <w:szCs w:val="20"/>
              </w:rPr>
              <w:t>108.92</w:t>
            </w:r>
          </w:p>
        </w:tc>
        <w:tc>
          <w:tcPr>
            <w:tcW w:w="500" w:type="dxa"/>
            <w:tcBorders>
              <w:left w:val="single" w:color="auto" w:sz="4" w:space="0"/>
            </w:tcBorders>
            <w:shd w:val="clear" w:color="auto" w:fill="auto"/>
            <w:vAlign w:val="bottom"/>
          </w:tcPr>
          <w:p>
            <w:pPr>
              <w:spacing w:after="0" w:line="0" w:lineRule="atLeast"/>
              <w:rPr>
                <w:rFonts w:ascii="Times New Roman" w:hAnsi="Times New Roman" w:eastAsia="Times New Roman" w:cs="Arial"/>
                <w:sz w:val="18"/>
                <w:szCs w:val="20"/>
              </w:rPr>
            </w:pPr>
          </w:p>
        </w:tc>
        <w:tc>
          <w:tcPr>
            <w:tcW w:w="1580" w:type="dxa"/>
            <w:gridSpan w:val="2"/>
            <w:shd w:val="clear" w:color="auto" w:fill="auto"/>
            <w:vAlign w:val="bottom"/>
          </w:tcPr>
          <w:p>
            <w:pPr>
              <w:spacing w:after="0" w:line="0" w:lineRule="atLeast"/>
              <w:rPr>
                <w:rFonts w:ascii="Times New Roman" w:hAnsi="Times New Roman" w:eastAsia="Times New Roman" w:cs="Arial"/>
                <w:sz w:val="18"/>
                <w:szCs w:val="20"/>
              </w:rPr>
            </w:pPr>
          </w:p>
        </w:tc>
      </w:tr>
      <w:tr>
        <w:tblPrEx>
          <w:tblLayout w:type="fixed"/>
          <w:tblCellMar>
            <w:top w:w="0" w:type="dxa"/>
            <w:left w:w="0" w:type="dxa"/>
            <w:bottom w:w="0" w:type="dxa"/>
            <w:right w:w="0" w:type="dxa"/>
          </w:tblCellMar>
        </w:tblPrEx>
        <w:trPr>
          <w:trHeight w:val="109" w:hRule="atLeast"/>
        </w:trPr>
        <w:tc>
          <w:tcPr>
            <w:tcW w:w="202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260" w:type="dxa"/>
            <w:tcBorders>
              <w:left w:val="single" w:color="auto" w:sz="4" w:space="0"/>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380" w:type="dxa"/>
            <w:tcBorders>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166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154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1560" w:type="dxa"/>
            <w:tcBorders>
              <w:left w:val="single" w:color="auto" w:sz="4" w:space="0"/>
              <w:bottom w:val="single" w:color="auto" w:sz="8" w:space="0"/>
              <w:right w:val="single" w:color="auto" w:sz="4" w:space="0"/>
            </w:tcBorders>
            <w:shd w:val="clear" w:color="auto" w:fill="auto"/>
            <w:vAlign w:val="bottom"/>
          </w:tcPr>
          <w:p>
            <w:pPr>
              <w:spacing w:after="0" w:line="0" w:lineRule="atLeast"/>
              <w:rPr>
                <w:rFonts w:ascii="Times New Roman" w:hAnsi="Times New Roman" w:eastAsia="Times New Roman" w:cs="Arial"/>
                <w:sz w:val="9"/>
                <w:szCs w:val="20"/>
              </w:rPr>
            </w:pPr>
          </w:p>
        </w:tc>
        <w:tc>
          <w:tcPr>
            <w:tcW w:w="1640" w:type="dxa"/>
            <w:gridSpan w:val="2"/>
            <w:tcBorders>
              <w:left w:val="single" w:color="auto" w:sz="4" w:space="0"/>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400" w:type="dxa"/>
            <w:gridSpan w:val="2"/>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500" w:type="dxa"/>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c>
          <w:tcPr>
            <w:tcW w:w="1580" w:type="dxa"/>
            <w:tcBorders>
              <w:bottom w:val="single" w:color="auto" w:sz="8" w:space="0"/>
            </w:tcBorders>
            <w:shd w:val="clear" w:color="auto" w:fill="auto"/>
            <w:vAlign w:val="bottom"/>
          </w:tcPr>
          <w:p>
            <w:pPr>
              <w:spacing w:after="0" w:line="0" w:lineRule="atLeast"/>
              <w:rPr>
                <w:rFonts w:ascii="Times New Roman" w:hAnsi="Times New Roman" w:eastAsia="Times New Roman" w:cs="Arial"/>
                <w:sz w:val="9"/>
                <w:szCs w:val="20"/>
              </w:rPr>
            </w:pPr>
          </w:p>
        </w:tc>
      </w:tr>
    </w:tbl>
    <w:p>
      <w:pPr>
        <w:spacing w:after="0" w:line="20" w:lineRule="exact"/>
        <w:rPr>
          <w:rFonts w:ascii="Times New Roman" w:hAnsi="Times New Roman" w:eastAsia="Times New Roman" w:cs="Arial"/>
          <w:sz w:val="20"/>
          <w:szCs w:val="20"/>
        </w:rPr>
      </w:pPr>
      <w:r>
        <w:rPr>
          <w:rFonts w:ascii="Times New Roman" w:hAnsi="Times New Roman" w:eastAsia="Times New Roman" w:cs="Arial"/>
          <w:sz w:val="9"/>
          <w:szCs w:val="20"/>
        </w:rPr>
        <w:drawing>
          <wp:anchor distT="0" distB="0" distL="114300" distR="114300" simplePos="0" relativeHeight="251660288" behindDoc="1" locked="0" layoutInCell="1" allowOverlap="1">
            <wp:simplePos x="0" y="0"/>
            <wp:positionH relativeFrom="column">
              <wp:posOffset>7825105</wp:posOffset>
            </wp:positionH>
            <wp:positionV relativeFrom="paragraph">
              <wp:posOffset>-2628265</wp:posOffset>
            </wp:positionV>
            <wp:extent cx="1032510" cy="311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2510" cy="31115"/>
                    </a:xfrm>
                    <a:prstGeom prst="rect">
                      <a:avLst/>
                    </a:prstGeom>
                    <a:noFill/>
                  </pic:spPr>
                </pic:pic>
              </a:graphicData>
            </a:graphic>
          </wp:anchor>
        </w:drawing>
      </w:r>
    </w:p>
    <w:p>
      <w:pPr>
        <w:spacing w:after="0" w:line="66" w:lineRule="exact"/>
        <w:rPr>
          <w:rFonts w:ascii="Times New Roman" w:hAnsi="Times New Roman" w:eastAsia="Times New Roman" w:cs="Arial"/>
          <w:sz w:val="20"/>
          <w:szCs w:val="20"/>
        </w:rPr>
      </w:pPr>
    </w:p>
    <w:p>
      <w:pPr>
        <w:spacing w:after="0" w:line="0" w:lineRule="atLeast"/>
        <w:ind w:left="393"/>
        <w:rPr>
          <w:rFonts w:ascii="Arial" w:hAnsi="Arial" w:eastAsia="Arial" w:cs="Arial"/>
          <w:i/>
          <w:sz w:val="14"/>
          <w:szCs w:val="20"/>
        </w:rPr>
      </w:pPr>
      <w:r>
        <w:rPr>
          <w:rFonts w:ascii="Arial" w:hAnsi="Arial" w:eastAsia="Arial" w:cs="Arial"/>
          <w:i/>
          <w:sz w:val="14"/>
          <w:szCs w:val="20"/>
        </w:rPr>
        <w:t>SFA: Saturated fatty acids, PUFA: Polyunsaturated fatty acids, MUFA: Monounsaturated fatty acids</w:t>
      </w:r>
    </w:p>
    <w:p>
      <w:pPr>
        <w:spacing w:after="0" w:line="240" w:lineRule="auto"/>
        <w:ind w:firstLine="450"/>
        <w:jc w:val="both"/>
        <w:rPr>
          <w:rFonts w:ascii="Times New Roman" w:hAnsi="Times New Roman" w:eastAsia="Times New Roman" w:cs="Times New Roman"/>
          <w:sz w:val="24"/>
          <w:szCs w:val="24"/>
        </w:rPr>
        <w:sectPr>
          <w:type w:val="continuous"/>
          <w:pgSz w:w="12240" w:h="15840"/>
          <w:pgMar w:top="191" w:right="160" w:bottom="170" w:left="1440" w:header="0" w:footer="0" w:gutter="0"/>
          <w:cols w:space="425" w:num="1"/>
          <w:docGrid w:linePitch="360" w:charSpace="0"/>
        </w:sectPr>
      </w:pPr>
    </w:p>
    <w:p>
      <w:pPr>
        <w:spacing w:after="0" w:line="240" w:lineRule="auto"/>
        <w:ind w:firstLine="450"/>
        <w:jc w:val="both"/>
        <w:rPr>
          <w:rFonts w:ascii="Times New Roman" w:hAnsi="Times New Roman" w:eastAsia="Times New Roman" w:cs="Times New Roman"/>
          <w:sz w:val="24"/>
          <w:szCs w:val="24"/>
        </w:rPr>
      </w:pPr>
    </w:p>
    <w:p>
      <w:pPr>
        <w:spacing w:after="0" w:line="240" w:lineRule="auto"/>
        <w:ind w:firstLine="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Penelitian lain selain penjabaran diatas menunjukkan pemain dengan energi total yang masuk dengan nilai rendah menunjukkan bahwa pemain tersebut sedang kekurangan energi (Russell and Pennock 2011; Le Blanc, Le Gall and Grandjean 2002). Asupan makanan pada pesepakbola pria menunjukkan data yang cukup berbeda dari 1 penelitian ke penelitian lainnya, seperti yang dilansir dari </w:t>
      </w:r>
      <w:bookmarkStart w:id="22" w:name="_Hlk512957367"/>
      <w:bookmarkStart w:id="23" w:name="_Hlk512957417"/>
      <w:r>
        <w:rPr>
          <w:rFonts w:ascii="Times New Roman" w:hAnsi="Times New Roman" w:eastAsia="Times New Roman" w:cs="Times New Roman"/>
          <w:sz w:val="24"/>
          <w:szCs w:val="24"/>
        </w:rPr>
        <w:t xml:space="preserve">Garcia-Roves et al. (2014) menujukkan kalori yang masuk adalah diantara 2500 hingga 3100 kkalori. Penelitian terdahulu menyatakan bahwa pemain sepakbola secara umum konsumsi makanannya tidak terlalu jauh berbeda. Namun didapat bahwa lemak dan protein yang dikonsumsi terlalu tinggi apabila dibandingkan dengan rekomendasi, dikombinasikan dengan asupan karbohidrat yang masih rendah di bawah anjuran yang telah dipublikasikan. Untuk pemain sepakbola Indonesia sendiri kesadaran dalam memilih makanan yang berkualitas memang sangat kurang, khususnya para pemain non tim nasional. Kesadaran pemain yang berlabel tim nasional sendiri disebabkan oleh pengalaman bertanding yang lebih di level Internasional, kontak dengan ahli gizi dan dokter tim nasional, dan terkait peran mereka sebagai </w:t>
      </w:r>
      <w:r>
        <w:rPr>
          <w:rFonts w:ascii="Times New Roman" w:hAnsi="Times New Roman" w:eastAsia="Times New Roman" w:cs="Times New Roman"/>
          <w:i/>
          <w:sz w:val="24"/>
          <w:szCs w:val="24"/>
        </w:rPr>
        <w:t>public figur</w:t>
      </w:r>
      <w:r>
        <w:rPr>
          <w:rFonts w:ascii="Times New Roman" w:hAnsi="Times New Roman" w:eastAsia="Times New Roman" w:cs="Times New Roman"/>
          <w:sz w:val="24"/>
          <w:szCs w:val="24"/>
        </w:rPr>
        <w:t xml:space="preserve"> sehingga </w:t>
      </w:r>
      <w:r>
        <w:rPr>
          <w:rFonts w:ascii="Times New Roman" w:hAnsi="Times New Roman" w:eastAsia="Times New Roman" w:cs="Times New Roman"/>
          <w:i/>
          <w:sz w:val="24"/>
          <w:szCs w:val="24"/>
        </w:rPr>
        <w:t xml:space="preserve">awareness </w:t>
      </w:r>
      <w:r>
        <w:rPr>
          <w:rFonts w:ascii="Times New Roman" w:hAnsi="Times New Roman" w:eastAsia="Times New Roman" w:cs="Times New Roman"/>
          <w:sz w:val="24"/>
          <w:szCs w:val="24"/>
        </w:rPr>
        <w:t>lebih terjaga. Kesalahan dalam pemilihan makanan dapat menyebabkan performa pemain menjadi menurun, jatuh sakit dan menjadi tidak terpilih dalam seleksi tim selanjutnya.</w:t>
      </w:r>
    </w:p>
    <w:bookmarkEnd w:id="20"/>
    <w:bookmarkEnd w:id="22"/>
    <w:p>
      <w:pPr>
        <w:spacing w:after="0" w:line="240" w:lineRule="auto"/>
        <w:jc w:val="both"/>
        <w:rPr>
          <w:rFonts w:ascii="Times New Roman" w:hAnsi="Times New Roman" w:eastAsia="Times New Roman" w:cs="Times New Roman"/>
          <w:sz w:val="24"/>
          <w:szCs w:val="24"/>
        </w:rPr>
      </w:pPr>
    </w:p>
    <w:p>
      <w:pPr>
        <w:pStyle w:val="6"/>
        <w:numPr>
          <w:ilvl w:val="1"/>
          <w:numId w:val="1"/>
        </w:num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Nutrisi untuk pesepakbola</w:t>
      </w:r>
    </w:p>
    <w:p>
      <w:pPr>
        <w:pStyle w:val="6"/>
        <w:spacing w:after="0" w:line="240" w:lineRule="auto"/>
        <w:ind w:left="450"/>
        <w:jc w:val="both"/>
        <w:rPr>
          <w:rFonts w:ascii="Times New Roman" w:hAnsi="Times New Roman" w:eastAsia="Times New Roman" w:cs="Times New Roman"/>
          <w:b/>
          <w:sz w:val="24"/>
          <w:szCs w:val="24"/>
        </w:rPr>
      </w:pPr>
    </w:p>
    <w:p>
      <w:pPr>
        <w:spacing w:after="0" w:line="240" w:lineRule="auto"/>
        <w:ind w:left="90" w:firstLine="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Para ahli nutrisi Internasional telah memberikan penjelasan fundamental terkait prioritas nutrisi dan kecukupan kalori yang harus dikonsumsi untuk mencapai kebutuhan energi yang hilang hariannya (Kreider et al. 2010). Latihan sepakbola dan berkompetisi meningkatkan kebutuhan energi yang harus dibarengi dengan pemasukan energi dari makanan untuk menjaga preforma fisik dan pencegahan terhadap kelelahan yang berkepanjangan (Williams 2012; FIFA 2010; Bangsbo 1994; Clark 1994; Lemon 1994). Data menunjukkan ketika energi yang kurang dari 30g/kg /hari dari massa otot, akan menimbulkan masalah seperti kelelahan, menurunnya performa dan menganggu kestabilan system imun (Burke, Loucks dan Broad 2006).</w:t>
      </w:r>
    </w:p>
    <w:p>
      <w:pPr>
        <w:spacing w:after="0" w:line="240" w:lineRule="auto"/>
        <w:ind w:left="90" w:firstLine="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 dalam kasus pemain sepakbola semi professional yang mana sepakbola bukan komitmen utama mereka, disambi dengan bekerja maupun sekolah, masalah kecukupan nutrisi menjadi suatu tantangan yang baru. Dengan jadwal yang tidak teratur, para pemain mengalami kehilangan nafsu makan setelah latihan, kurang makan, tidak sarapan, mudah kehilangan berat badan, yang mana sebagian malah kecanduan makanan cepat saji (</w:t>
      </w:r>
      <w:r>
        <w:rPr>
          <w:rFonts w:ascii="Times New Roman" w:hAnsi="Times New Roman" w:eastAsia="Times New Roman" w:cs="Times New Roman"/>
          <w:i/>
          <w:sz w:val="24"/>
          <w:szCs w:val="24"/>
        </w:rPr>
        <w:t>junk food</w:t>
      </w:r>
      <w:r>
        <w:rPr>
          <w:rFonts w:ascii="Times New Roman" w:hAnsi="Times New Roman" w:eastAsia="Times New Roman" w:cs="Times New Roman"/>
          <w:sz w:val="24"/>
          <w:szCs w:val="24"/>
        </w:rPr>
        <w:t>). Kebutuhan energi di dalam menjalani latihan dan kompetisi membutuhkan pemain untuk mengkonsumsi diet yang seimbang dari asupan makronutrien dan mikronutrien, seimbang dengan kehilangan energi, yang mana karbohidrat memegang peranan penting disini (MacLaren 2003; Reilly 1994; Korkmaz 1994). Rencana diet yang ideal adalah rendah lemak, dengan protein yang terkontrol dan asupan cairan yang adekuat untuk memenuhi kebutuhan hidrasi (Williams, 2012).</w:t>
      </w:r>
    </w:p>
    <w:p>
      <w:pPr>
        <w:spacing w:after="0" w:line="240" w:lineRule="auto"/>
        <w:ind w:left="90" w:firstLine="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Dikarenakan pemain sepakbola terbiasa untuk berlatih di intensitas sedang hingga tinggi, diestimasikan kebutuhan energi harian dari pemain sepakbola berada di kasiran antara 3500 kkal (Williams 1994) dan 4000 kkal pada hari-hari latihan (Rico-Sanz et al. 1998; Reilly and Thomas 1979). Faktor-faktor termasuk volume dan intensitas latihan, besar tubuh, fase dari sebuah musim dan kondisi fisik harus diperhitungkan ketika akan memperkirakan kebutuhan energi dan merencanakan strategi nutrisi yang sukses (Garcia-Roves et al. 2014). </w:t>
      </w:r>
    </w:p>
    <w:p>
      <w:pPr>
        <w:spacing w:after="0" w:line="240" w:lineRule="auto"/>
        <w:ind w:left="90" w:firstLine="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Berdasarkan konsumsi total kalori, rekomendasi menyarankan persentase asupan makronutrien adalah 65% untuk karbohidrat, 15% untuk protein dan 20% untuk kebutuhan lemak (MacLaren, 1996). Berdasarkan sumber lain menyebutkan 55 hingga 65% untuk karbohidrat, 12-15% untuk protein, dan kurang dari 30% dari lemak oleh penelitian yang dilakukan oleh Clark (1994) dan data dari FIFA (2010). Menjelaskan kebutuhan harian dari persentase dari TDEI bagaimanapun, dapat menyebabkan kesalahan penafsiran dari kebutuhan absolut dari asupan makronutrien. Sekarang ini penggunaan TDEI untuk mengkalkulasikan kebutuhan dari karbohidrat dan protein tidak dianjurkan. Para peneliti lebih suka untuk menjelaskannya dengan istilah g∙kg-1 BM (Garcia-Roves et al. 2014), hal ini bertujuan untuk benar-benar spesifik dalam menentukan kebutuhan kalori dari individu pemain.</w:t>
      </w:r>
    </w:p>
    <w:p>
      <w:pPr>
        <w:spacing w:after="0" w:line="240" w:lineRule="auto"/>
        <w:ind w:left="90" w:firstLine="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Pada pembahasan selanjutnya kita akan mengulas satu persatu strategi nutrisi yang akan digunakan untuk meningkatkan performa yang optimal dalam sepakbola, melingkupi peranan karbohidrat serta serat pangan yang dinilai sebagai komponen penting nutrisi untuk menunjang performa pemain agar tetap </w:t>
      </w:r>
      <w:r>
        <w:rPr>
          <w:rFonts w:ascii="Times New Roman" w:hAnsi="Times New Roman" w:eastAsia="Times New Roman" w:cs="Times New Roman"/>
          <w:i/>
          <w:sz w:val="24"/>
          <w:szCs w:val="24"/>
        </w:rPr>
        <w:t>fight</w:t>
      </w:r>
      <w:r>
        <w:rPr>
          <w:rFonts w:ascii="Times New Roman" w:hAnsi="Times New Roman" w:eastAsia="Times New Roman" w:cs="Times New Roman"/>
          <w:sz w:val="24"/>
          <w:szCs w:val="24"/>
        </w:rPr>
        <w:t xml:space="preserve"> di lapangan.</w:t>
      </w:r>
    </w:p>
    <w:p>
      <w:pPr>
        <w:spacing w:after="0" w:line="240" w:lineRule="auto"/>
        <w:jc w:val="both"/>
        <w:rPr>
          <w:rFonts w:ascii="Times New Roman" w:hAnsi="Times New Roman" w:eastAsia="Times New Roman" w:cs="Times New Roman"/>
          <w:sz w:val="24"/>
          <w:szCs w:val="24"/>
        </w:rPr>
      </w:pPr>
    </w:p>
    <w:p>
      <w:pPr>
        <w:spacing w:after="0" w:line="240" w:lineRule="auto"/>
        <w:ind w:firstLine="8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Peranan karbohidrat</w:t>
      </w:r>
    </w:p>
    <w:p>
      <w:pPr>
        <w:spacing w:after="0" w:line="240" w:lineRule="auto"/>
        <w:ind w:firstLine="80"/>
        <w:jc w:val="both"/>
        <w:rPr>
          <w:rFonts w:ascii="Times New Roman" w:hAnsi="Times New Roman" w:eastAsia="Times New Roman" w:cs="Times New Roman"/>
          <w:b/>
          <w:sz w:val="24"/>
          <w:szCs w:val="24"/>
        </w:rPr>
      </w:pPr>
    </w:p>
    <w:p>
      <w:pPr>
        <w:spacing w:after="0" w:line="240" w:lineRule="auto"/>
        <w:ind w:left="80" w:right="66" w:firstLine="64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Karbohidrat memegang peranan vital dalam olahraga dan khususnya pada bidang sepakbola, dimana glikogen otot adalah substrat yang dominan digunakan sebagai penghasil utama energi di dalam suatu pertandingan. Setelah digunakan dalam suatu usaha pertandingan, setidaknya setengah dari otot vastus lateralis menjadi hampir atau benar-benar kosong kadar glikogennya (Krustrup et al., 2006). Untuk mengoptimalisasi kadar glikogen otot, porsi diet makanan haruslah tinggi karbohidrat (Williams dan Rollo, 2015). Tubuh yang relative besar tentunya akan lebih optimal dan meningkat apabila diberikan diet makanan tinggi karbohidrat untuk menunjang performa di lapangan. Hal ini telah diobservasi di lapangan dan juga laboratorium pada sebelum, saat dan setelah menjalani latihan, dan juga pada saat simulasi pertandingan. Di level pemain muda elit sejak dini di sepakbola Eropa khususnya liga Inggris asupan nutrisi dengan kadar karbohidrat tinggi sudah sangat diperhatikan seperti yang ditunjukkan pada </w:t>
      </w:r>
      <w:r>
        <w:rPr>
          <w:rFonts w:ascii="Times New Roman" w:hAnsi="Times New Roman" w:eastAsia="Arial" w:cs="Times New Roman"/>
          <w:b/>
          <w:sz w:val="24"/>
          <w:szCs w:val="24"/>
        </w:rPr>
        <w:t>tabel 2</w:t>
      </w:r>
      <w:r>
        <w:rPr>
          <w:rFonts w:ascii="Times New Roman" w:hAnsi="Times New Roman" w:eastAsia="Arial" w:cs="Times New Roman"/>
          <w:sz w:val="24"/>
          <w:szCs w:val="24"/>
        </w:rPr>
        <w:t>. Dengan asupan energi harian yang telah disesuaikan dengan rekomendasi energi total harian untuk pemain muda level elit.</w:t>
      </w:r>
    </w:p>
    <w:p>
      <w:pPr>
        <w:spacing w:after="0" w:line="240" w:lineRule="auto"/>
        <w:ind w:left="80" w:right="66" w:firstLine="431"/>
        <w:jc w:val="both"/>
        <w:rPr>
          <w:rFonts w:ascii="Times New Roman" w:hAnsi="Times New Roman" w:eastAsia="Arial" w:cs="Times New Roman"/>
          <w:sz w:val="24"/>
          <w:szCs w:val="24"/>
        </w:rPr>
      </w:pPr>
    </w:p>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b/>
          <w:sz w:val="24"/>
          <w:szCs w:val="24"/>
        </w:rPr>
        <w:t xml:space="preserve">Tabel 2. </w:t>
      </w:r>
      <w:r>
        <w:rPr>
          <w:rFonts w:ascii="Times New Roman" w:hAnsi="Times New Roman" w:eastAsia="Arial" w:cs="Times New Roman"/>
          <w:sz w:val="24"/>
          <w:szCs w:val="24"/>
        </w:rPr>
        <w:t>Total asupan karbohidrat dan asupan energi total dari level elit pemain muda English Premier League (Naughton</w:t>
      </w:r>
      <w:r>
        <w:rPr>
          <w:rFonts w:ascii="Times New Roman" w:hAnsi="Times New Roman" w:eastAsia="Arial" w:cs="Times New Roman"/>
          <w:b/>
          <w:sz w:val="24"/>
          <w:szCs w:val="24"/>
        </w:rPr>
        <w:t xml:space="preserve"> </w:t>
      </w:r>
      <w:r>
        <w:rPr>
          <w:rFonts w:ascii="Times New Roman" w:hAnsi="Times New Roman" w:eastAsia="Arial" w:cs="Times New Roman"/>
          <w:i/>
          <w:sz w:val="24"/>
          <w:szCs w:val="24"/>
        </w:rPr>
        <w:t>et al.</w:t>
      </w:r>
      <w:r>
        <w:rPr>
          <w:rFonts w:ascii="Times New Roman" w:hAnsi="Times New Roman" w:eastAsia="Arial" w:cs="Times New Roman"/>
          <w:sz w:val="24"/>
          <w:szCs w:val="24"/>
        </w:rPr>
        <w:t>, 2016).</w:t>
      </w:r>
    </w:p>
    <w:tbl>
      <w:tblPr>
        <w:tblStyle w:val="4"/>
        <w:tblpPr w:leftFromText="180" w:rightFromText="180" w:vertAnchor="text" w:horzAnchor="page" w:tblpX="1629" w:tblpY="260"/>
        <w:tblOverlap w:val="never"/>
        <w:tblW w:w="5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
        <w:gridCol w:w="1312"/>
        <w:gridCol w:w="1918"/>
        <w:gridCol w:w="6"/>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241" w:type="dxa"/>
            <w:tcBorders>
              <w:right w:val="nil"/>
            </w:tcBorders>
          </w:tcPr>
          <w:p>
            <w:pPr>
              <w:spacing w:after="0" w:line="240" w:lineRule="auto"/>
              <w:ind w:right="66"/>
              <w:jc w:val="both"/>
              <w:rPr>
                <w:rFonts w:ascii="Times New Roman" w:hAnsi="Times New Roman" w:eastAsia="Arial" w:cs="Times New Roman"/>
                <w:b/>
                <w:sz w:val="24"/>
                <w:szCs w:val="24"/>
              </w:rPr>
            </w:pPr>
          </w:p>
        </w:tc>
        <w:tc>
          <w:tcPr>
            <w:tcW w:w="1312" w:type="dxa"/>
            <w:tcBorders>
              <w:top w:val="single" w:color="auto" w:sz="4" w:space="0"/>
              <w:left w:val="nil"/>
              <w:bottom w:val="nil"/>
            </w:tcBorders>
            <w:shd w:val="clear" w:color="auto" w:fill="auto"/>
          </w:tcPr>
          <w:p>
            <w:pPr>
              <w:spacing w:line="240" w:lineRule="auto"/>
              <w:rPr>
                <w:rFonts w:ascii="Times New Roman" w:hAnsi="Times New Roman" w:eastAsia="Arial" w:cs="Times New Roman"/>
                <w:b/>
                <w:sz w:val="24"/>
                <w:szCs w:val="24"/>
              </w:rPr>
            </w:pPr>
            <w:r>
              <w:rPr>
                <w:rFonts w:ascii="Times New Roman" w:hAnsi="Times New Roman" w:eastAsia="Arial" w:cs="Times New Roman"/>
                <w:b/>
                <w:sz w:val="24"/>
                <w:szCs w:val="24"/>
              </w:rPr>
              <w:t>Skuat Kategori Usia</w:t>
            </w:r>
          </w:p>
        </w:tc>
        <w:tc>
          <w:tcPr>
            <w:tcW w:w="1918" w:type="dxa"/>
            <w:tcBorders>
              <w:top w:val="single" w:color="auto" w:sz="4" w:space="0"/>
              <w:left w:val="nil"/>
              <w:bottom w:val="nil"/>
            </w:tcBorders>
            <w:shd w:val="clear" w:color="auto" w:fill="auto"/>
          </w:tcPr>
          <w:p>
            <w:pPr>
              <w:spacing w:line="240" w:lineRule="auto"/>
              <w:rPr>
                <w:rFonts w:ascii="Times New Roman" w:hAnsi="Times New Roman" w:eastAsia="Arial" w:cs="Times New Roman"/>
                <w:b/>
                <w:sz w:val="24"/>
                <w:szCs w:val="24"/>
              </w:rPr>
            </w:pPr>
            <w:r>
              <w:rPr>
                <w:rFonts w:ascii="Times New Roman" w:hAnsi="Times New Roman" w:eastAsia="Arial" w:cs="Times New Roman"/>
                <w:b/>
                <w:sz w:val="24"/>
                <w:szCs w:val="24"/>
              </w:rPr>
              <w:t>Asupan karbohidrat harian (g/hari)</w:t>
            </w:r>
          </w:p>
        </w:tc>
        <w:tc>
          <w:tcPr>
            <w:tcW w:w="1589" w:type="dxa"/>
            <w:gridSpan w:val="2"/>
            <w:tcBorders>
              <w:top w:val="single" w:color="auto" w:sz="4" w:space="0"/>
              <w:left w:val="nil"/>
              <w:bottom w:val="nil"/>
            </w:tcBorders>
            <w:shd w:val="clear" w:color="auto" w:fill="auto"/>
          </w:tcPr>
          <w:p>
            <w:pPr>
              <w:spacing w:line="240" w:lineRule="auto"/>
              <w:rPr>
                <w:rFonts w:ascii="Times New Roman" w:hAnsi="Times New Roman" w:eastAsia="Arial" w:cs="Times New Roman"/>
                <w:b/>
                <w:sz w:val="24"/>
                <w:szCs w:val="24"/>
              </w:rPr>
            </w:pPr>
            <w:r>
              <w:rPr>
                <w:rFonts w:ascii="Times New Roman" w:hAnsi="Times New Roman" w:eastAsia="Arial" w:cs="Times New Roman"/>
                <w:b/>
                <w:sz w:val="24"/>
                <w:szCs w:val="24"/>
              </w:rPr>
              <w:t>Asupan energi harian (kkal/hari)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9" w:hRule="atLeast"/>
        </w:trPr>
        <w:tc>
          <w:tcPr>
            <w:tcW w:w="155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b/>
                <w:sz w:val="24"/>
                <w:szCs w:val="24"/>
              </w:rPr>
            </w:pPr>
            <w:r>
              <w:rPr>
                <w:rFonts w:ascii="Times New Roman" w:hAnsi="Times New Roman" w:eastAsia="Arial" w:cs="Times New Roman"/>
                <w:b/>
                <w:sz w:val="24"/>
                <w:szCs w:val="24"/>
              </w:rPr>
              <w:t>U13/14 tahun</w:t>
            </w:r>
          </w:p>
        </w:tc>
        <w:tc>
          <w:tcPr>
            <w:tcW w:w="192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266.3 ± 58.4</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1903 ± 432.4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7" w:hRule="atLeast"/>
        </w:trPr>
        <w:tc>
          <w:tcPr>
            <w:tcW w:w="155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b/>
                <w:sz w:val="24"/>
                <w:szCs w:val="24"/>
              </w:rPr>
            </w:pPr>
            <w:r>
              <w:rPr>
                <w:rFonts w:ascii="Times New Roman" w:hAnsi="Times New Roman" w:eastAsia="Arial" w:cs="Times New Roman"/>
                <w:b/>
                <w:sz w:val="24"/>
                <w:szCs w:val="24"/>
              </w:rPr>
              <w:t>U15/16 tahun</w:t>
            </w:r>
          </w:p>
        </w:tc>
        <w:tc>
          <w:tcPr>
            <w:tcW w:w="192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275.1 ± 61.9</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1926.7 ± 317.2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5" w:hRule="atLeast"/>
        </w:trPr>
        <w:tc>
          <w:tcPr>
            <w:tcW w:w="155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b/>
                <w:sz w:val="24"/>
                <w:szCs w:val="24"/>
              </w:rPr>
            </w:pPr>
            <w:r>
              <w:rPr>
                <w:rFonts w:ascii="Times New Roman" w:hAnsi="Times New Roman" w:eastAsia="Arial" w:cs="Times New Roman"/>
                <w:b/>
                <w:sz w:val="24"/>
                <w:szCs w:val="24"/>
              </w:rPr>
              <w:t>U18 tahun</w:t>
            </w:r>
          </w:p>
        </w:tc>
        <w:tc>
          <w:tcPr>
            <w:tcW w:w="192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223.7 ± 79.9</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1958.2 ± 389.5</w:t>
            </w:r>
          </w:p>
        </w:tc>
      </w:tr>
    </w:tbl>
    <w:p>
      <w:pPr>
        <w:spacing w:after="0" w:line="240" w:lineRule="auto"/>
        <w:ind w:right="66"/>
        <w:jc w:val="both"/>
        <w:rPr>
          <w:rFonts w:ascii="Times New Roman" w:hAnsi="Times New Roman" w:eastAsia="Arial" w:cs="Times New Roman"/>
          <w:sz w:val="24"/>
          <w:szCs w:val="24"/>
        </w:rPr>
      </w:pPr>
    </w:p>
    <w:p>
      <w:pPr>
        <w:spacing w:after="0" w:line="240" w:lineRule="auto"/>
        <w:ind w:left="80" w:right="66" w:firstLine="431"/>
        <w:jc w:val="both"/>
        <w:rPr>
          <w:rFonts w:ascii="Times New Roman" w:hAnsi="Times New Roman" w:eastAsia="Arial" w:cs="Times New Roman"/>
          <w:sz w:val="24"/>
          <w:szCs w:val="24"/>
        </w:rPr>
      </w:pPr>
    </w:p>
    <w:p>
      <w:pPr>
        <w:spacing w:after="0" w:line="240" w:lineRule="auto"/>
        <w:ind w:left="80" w:right="66" w:firstLine="640"/>
        <w:jc w:val="both"/>
        <w:rPr>
          <w:rFonts w:ascii="Times New Roman" w:hAnsi="Times New Roman" w:eastAsia="Arial" w:cs="Times New Roman"/>
          <w:sz w:val="24"/>
          <w:szCs w:val="24"/>
        </w:rPr>
      </w:pPr>
      <w:r>
        <w:rPr>
          <w:rFonts w:ascii="Times New Roman" w:hAnsi="Times New Roman" w:eastAsia="Arial" w:cs="Times New Roman"/>
          <w:sz w:val="24"/>
          <w:szCs w:val="24"/>
        </w:rPr>
        <w:t>Kecukupan karbohidrat dapat meningkatkan konsentrasi glikogen tersimpan dalam otot, penurunan onset kelelahan dan peningkatan performa secara umum. Ketika simpanan karbohidrat mencukupi untuk kebutuhan energi untuk latihan bagaimanapun, factor-faktor lain seperti mental, fisik, dan kemampuan teknis turut mempengaruhi kemampuan pemain untuk melanjutkan program latihan yang berkelanjutan (Burke, Loucks dan Broad 2006). Hal ini mengacu kepada fakta bahwa ketika asupan rendah karbohidrat dikonsumsi, cadangan karbohidrat menurun secara drastis dan membuat otot menjadi tidak dapat memenuhi kebutuhan ATP untuk mengimbangi kebutuhan yang tinggi dalam latihan dan pertandingan (Bangsbo, Mohr dan Krustrup 2006). Kelebihan karbohidrat juga di sisi lain dapat memberikan dampak buruk bagi pemain, mempengaruhi komposisi tubuh untuk konsumsi jangka panjang (Clark, 1994). Sherman et al. (1981) telah menjabarkan data ketika asupan karbohidrat lebih tinggi dari 600 gram/hari maka tidak ada kontribusinya terhadap simpanan glikogen otot dan performa pemain.</w:t>
      </w:r>
    </w:p>
    <w:p>
      <w:pPr>
        <w:spacing w:after="0" w:line="240" w:lineRule="auto"/>
        <w:ind w:left="80" w:right="66" w:firstLine="640"/>
        <w:jc w:val="both"/>
        <w:rPr>
          <w:rFonts w:ascii="Times New Roman" w:hAnsi="Times New Roman" w:eastAsia="Arial" w:cs="Times New Roman"/>
          <w:sz w:val="24"/>
          <w:szCs w:val="24"/>
        </w:rPr>
      </w:pPr>
      <w:r>
        <w:rPr>
          <w:rFonts w:ascii="Times New Roman" w:hAnsi="Times New Roman" w:eastAsia="Arial" w:cs="Times New Roman"/>
          <w:sz w:val="24"/>
          <w:szCs w:val="24"/>
        </w:rPr>
        <w:t>Di dalam sebuah pembahasan mengenai pentingnya kebutuhan nutrisi dalam sepakbola, menekankan pentingnya asupan tinggi karbohidrat, khususnya dua atau 3 hari sebelum kompetisi dimulai (Hawley, Dennis dan Noakes 1994). Riset menyatakan makanan yang tinggi karbohidrat yang dimakan sebelum olahraga, terbukti meningkatkan simpanan glikogen otot dan hati (Chryssanthopoulos et al. 2004; Bangsbo et al. 1992) yang berdampak kepada peningkatan performa olahraga. Balsom et al. (1999) menganalisis pergerakan dari 4 pemain dalam 90 menit permainan di dalam ruangan, yang 2 hari sebelumnya menkonsumsi tinggi karbohidrat (65%) atau rendah karbohidrat (30%). Hasil menunjukkan, pemain yang mengkonsumsi diet tinggi karbohidrat dapat bertahan di intensitas yang tinggi ketika berolahraga. Pada penelitian lain oleh Chryssanthopoulos et al. (2004), sarapan tinggi karbohidrat, meningkatkan kadar glikogen otot sekitar 10%. Di riset selanjutnya Little et al. (2010) mengkonfirmasi peningkatan performa lari dari pemain yang mengkonsumsi lebih tinggi karbohidrat pada saat sebelum latihan.</w:t>
      </w:r>
    </w:p>
    <w:p>
      <w:pPr>
        <w:spacing w:after="0" w:line="240" w:lineRule="auto"/>
        <w:ind w:left="80" w:right="66" w:firstLine="64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Pada pengamatan terkait investigasi aspek teknis performa teknis, para peneliti menunjukkan data bahwa asupan karbohidrat selama simulasi pertandingan sepakbola, membuat pemain dapat bertahan dengan baik, (Williams 2012; Rampinini et al. 2007), sekaligus membuat performa meningkat (Ali et al. 2007), skill dan kemampuan teknis, di bawah kelelahan. Bertolak belakang dengan penemuan Zeederberg et al. (1996) disuguhkan data tidak ada manfaatnya asupan dari 6.9% karbohidrat dalam bentuk cairan di dalam suatu pertandingan, Pada studi ini analisis video digunakan untuk melihat kemampuan teknis seperti menjegal, menyundul, dan menembak. Atribut umpan dan membawa bola ditemukan tidak berefek dari pemberian cairan </w:t>
      </w:r>
      <w:bookmarkStart w:id="24" w:name="_Hlk512958443"/>
      <w:r>
        <w:rPr>
          <w:rFonts w:ascii="Times New Roman" w:hAnsi="Times New Roman" w:eastAsia="Arial" w:cs="Times New Roman"/>
          <w:sz w:val="24"/>
          <w:szCs w:val="24"/>
        </w:rPr>
        <w:t>karbohidrat (Russell dan Kingsley 2014). Sedangkan menurut Goedecke et al. (2013), pemain tidak terlihat kegesitannya meningkat setelah diberikan cairan karbohidrat 7% dari 700 ml sebuah minuman olahraga ketika dilakukan simulasi pertandingan.</w:t>
      </w:r>
    </w:p>
    <w:p>
      <w:pPr>
        <w:spacing w:after="0" w:line="240" w:lineRule="auto"/>
        <w:ind w:left="80" w:right="66" w:firstLine="431"/>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 </w:t>
      </w:r>
      <w:r>
        <w:rPr>
          <w:rFonts w:ascii="Times New Roman" w:hAnsi="Times New Roman" w:eastAsia="Arial" w:cs="Times New Roman"/>
          <w:sz w:val="24"/>
          <w:szCs w:val="24"/>
        </w:rPr>
        <w:tab/>
      </w:r>
      <w:r>
        <w:rPr>
          <w:rFonts w:ascii="Times New Roman" w:hAnsi="Times New Roman" w:eastAsia="Arial" w:cs="Times New Roman"/>
          <w:sz w:val="24"/>
          <w:szCs w:val="24"/>
        </w:rPr>
        <w:t>Russell, Benton and Kinglsey (2012) juga menemukan data yang menunjukkan tidak ada perbedaan signifikan terhadap performa menembak bola di dalam sebuah simulasi pertandingan, ketika pemain diberikan 6% karbohidrat-elektrolit yang cair pada interval yang berbeda, pada waktu yang sama dibandingkan terhadap pemain yang langsung meminum cairan elektrolit. Sejumlah studi menginvestigasi efek dari pemberian cairan karbohidrat baik selama maupun saat pertandingan simulasi. Memang pemberian karbohidrat dianjurkan sehingga pemain dapat memakai glikogen optimal (Williams, 2012; Nicholas et al. 1999; Leatt and Jacobs 1989), menurunkan resiko hipoglikemia (kadar gula di dalam darah menjadi turun), menjaga kadar glukosa plasma (Ali et al. 2007), dan meningkatkan performa lari (Welsh et al. 2002; Nicholas et al. 1995) dan juga memperlambat kelelahan pada percobaan latihan (Ali et al. 2007; Welsh et al. 2002). Hal ini menunjukkan bahwa aspek teknis memang tidak terlalu berpengaruh langsung apabila diberikan asupan nutrisi tinggi karbohidrat, namun ketahanan, dan durasi onset kelelahan menjadi lebih Panjang sehingga secara tidak langsung membantu pemain dalam mempertahankan aspek teknis dan performanya di lapangan.</w:t>
      </w:r>
    </w:p>
    <w:p>
      <w:pPr>
        <w:spacing w:after="0" w:line="240" w:lineRule="auto"/>
        <w:ind w:left="80" w:right="66" w:firstLine="64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Konsumsi saat berlatih dipercaya sebagai aspek yang penting dalam perkembangan performa, terutama untuk pencegahan kram yang disebabkan oleh dehidrasi dan kehilangan elektrolit, umumnya disebabkan karena kekurangan potassium, magnesium, sodium dan kalsium yang mana mikronutrien ini memiliki peran spesifik terkait mekanisme penyediaan energi untuk kebutuhan sepakbola (Clark, 2014). Biasanya suplemen dalam bentuk cairan akan lebih mudah untuk diserap, Nicholas et al. (1999) melaporkan ingesti karbohidrat saat berolahraga dalam bentuk cairan akan dapat meningkatkan kapasitas performa sepakbola dalam semua tingkatan kompetisi dengan memperlambat </w:t>
      </w:r>
      <w:r>
        <w:rPr>
          <w:rFonts w:ascii="Times New Roman" w:hAnsi="Times New Roman" w:eastAsia="Arial" w:cs="Times New Roman"/>
          <w:i/>
          <w:sz w:val="24"/>
          <w:szCs w:val="24"/>
        </w:rPr>
        <w:t xml:space="preserve">onset </w:t>
      </w:r>
      <w:r>
        <w:rPr>
          <w:rFonts w:ascii="Times New Roman" w:hAnsi="Times New Roman" w:eastAsia="Arial" w:cs="Times New Roman"/>
          <w:sz w:val="24"/>
          <w:szCs w:val="24"/>
        </w:rPr>
        <w:t xml:space="preserve">kelelahan, yang dipengaruhi oleh cadangan glikogen otot yang mencukupi. </w:t>
      </w:r>
    </w:p>
    <w:p>
      <w:pPr>
        <w:spacing w:after="0" w:line="240" w:lineRule="auto"/>
        <w:ind w:right="66"/>
        <w:jc w:val="both"/>
        <w:rPr>
          <w:rFonts w:ascii="Times New Roman" w:hAnsi="Times New Roman" w:eastAsia="Arial" w:cs="Times New Roman"/>
          <w:sz w:val="24"/>
          <w:szCs w:val="24"/>
        </w:rPr>
      </w:pPr>
    </w:p>
    <w:p>
      <w:pPr>
        <w:spacing w:after="0" w:line="240" w:lineRule="auto"/>
        <w:ind w:right="66"/>
        <w:jc w:val="both"/>
        <w:rPr>
          <w:rFonts w:ascii="Times New Roman" w:hAnsi="Times New Roman" w:eastAsia="Arial" w:cs="Times New Roman"/>
          <w:b/>
          <w:sz w:val="24"/>
          <w:szCs w:val="24"/>
        </w:rPr>
      </w:pPr>
      <w:r>
        <w:rPr>
          <w:rFonts w:ascii="Times New Roman" w:hAnsi="Times New Roman" w:eastAsia="Arial" w:cs="Times New Roman"/>
          <w:b/>
          <w:sz w:val="24"/>
          <w:szCs w:val="24"/>
        </w:rPr>
        <w:t>2.2.2</w:t>
      </w:r>
      <w:r>
        <w:rPr>
          <w:rFonts w:ascii="Times New Roman" w:hAnsi="Times New Roman" w:eastAsia="Arial" w:cs="Times New Roman"/>
          <w:b/>
          <w:sz w:val="24"/>
          <w:szCs w:val="24"/>
        </w:rPr>
        <w:tab/>
      </w:r>
      <w:r>
        <w:rPr>
          <w:rFonts w:ascii="Times New Roman" w:hAnsi="Times New Roman" w:eastAsia="Arial" w:cs="Times New Roman"/>
          <w:b/>
          <w:sz w:val="24"/>
          <w:szCs w:val="24"/>
        </w:rPr>
        <w:t>Peranan Serat</w:t>
      </w:r>
    </w:p>
    <w:p>
      <w:pPr>
        <w:spacing w:after="0" w:line="240" w:lineRule="auto"/>
        <w:ind w:left="80" w:right="66" w:firstLine="640"/>
        <w:jc w:val="both"/>
        <w:rPr>
          <w:rFonts w:ascii="Times New Roman" w:hAnsi="Times New Roman" w:eastAsia="Times New Roman" w:cs="Times New Roman"/>
          <w:sz w:val="24"/>
          <w:szCs w:val="24"/>
        </w:rPr>
      </w:pPr>
      <w:bookmarkStart w:id="25" w:name="_Hlk511942446"/>
      <w:r>
        <w:rPr>
          <w:rFonts w:ascii="Times New Roman" w:hAnsi="Times New Roman" w:eastAsia="Arial" w:cs="Times New Roman"/>
          <w:sz w:val="24"/>
          <w:szCs w:val="24"/>
        </w:rPr>
        <w:t>Bagian lain yang menarik untuk dibahas adalah terkait serat pangan, bagian dari karbohidrat yang tidak dicerna oleh tubuh, yang sering dihubungkan terhadap makanan yang memiliki kadar nutrisi yang tinggi</w:t>
      </w:r>
      <w:r>
        <w:rPr>
          <w:rFonts w:ascii="Times New Roman" w:hAnsi="Times New Roman" w:eastAsia="Times New Roman" w:cs="Times New Roman"/>
          <w:sz w:val="24"/>
          <w:szCs w:val="24"/>
        </w:rPr>
        <w:t xml:space="preserve"> (Lairon et al. 2005; Montonen et al. 2003; Butcher et al. 2010). Serat dapat didapatkan dari dinding sel tumbuhan contohnya lignin dan pektin. Penggunaan sereal gandum meningkat drastis di seluruh dunia, dikarenakan mengandung bahan fitokimia dan serat pangan yang dapat memberikan manfaat kesehatan (Jones dan Engleson </w:t>
      </w:r>
      <w:r>
        <w:fldChar w:fldCharType="begin"/>
      </w:r>
      <w:r>
        <w:instrText xml:space="preserve"> HYPERLINK \l "page19" </w:instrText>
      </w:r>
      <w:r>
        <w:fldChar w:fldCharType="separate"/>
      </w:r>
      <w:r>
        <w:rPr>
          <w:rStyle w:val="3"/>
          <w:rFonts w:ascii="Times New Roman" w:hAnsi="Times New Roman" w:eastAsia="Times New Roman" w:cs="Times New Roman"/>
          <w:color w:val="auto"/>
          <w:sz w:val="24"/>
          <w:szCs w:val="24"/>
          <w:u w:val="none"/>
        </w:rPr>
        <w:t>2010</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xml:space="preserve">). Sereal gandum adalah salah satu jenis makanan yang digunakan sebagai sumber kaya serat pangan pada level sepakbola elit pemain muda di Inggris seperti yang ditunjukkan pada </w:t>
      </w:r>
      <w:r>
        <w:rPr>
          <w:rFonts w:ascii="Times New Roman" w:hAnsi="Times New Roman" w:eastAsia="Times New Roman" w:cs="Times New Roman"/>
          <w:b/>
          <w:sz w:val="24"/>
          <w:szCs w:val="24"/>
        </w:rPr>
        <w:t>tabel 3</w:t>
      </w:r>
      <w:r>
        <w:rPr>
          <w:rFonts w:ascii="Times New Roman" w:hAnsi="Times New Roman" w:eastAsia="Times New Roman" w:cs="Times New Roman"/>
          <w:sz w:val="24"/>
          <w:szCs w:val="24"/>
        </w:rPr>
        <w:t>. Terdapat beberapa makanan yang menjadi sumber serat pangan diantaranya adalah roti, sereal dan sayuran.</w:t>
      </w:r>
    </w:p>
    <w:p>
      <w:pPr>
        <w:spacing w:after="0" w:line="240" w:lineRule="auto"/>
        <w:ind w:left="80" w:right="66" w:firstLine="431"/>
        <w:jc w:val="both"/>
        <w:rPr>
          <w:rFonts w:ascii="Times New Roman" w:hAnsi="Times New Roman" w:eastAsia="Times New Roman" w:cs="Times New Roman"/>
          <w:sz w:val="24"/>
          <w:szCs w:val="24"/>
        </w:rPr>
      </w:pPr>
    </w:p>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Tabel 3</w:t>
      </w:r>
      <w:r>
        <w:rPr>
          <w:rFonts w:ascii="Times New Roman" w:hAnsi="Times New Roman" w:eastAsia="Times New Roman" w:cs="Times New Roman"/>
          <w:sz w:val="24"/>
          <w:szCs w:val="24"/>
        </w:rPr>
        <w:t xml:space="preserve">. 3 sumber utama serat pangan, yang disajikan dalam persentase, antara pemain muda level elit dari akademi </w:t>
      </w:r>
      <w:r>
        <w:rPr>
          <w:rFonts w:ascii="Times New Roman" w:hAnsi="Times New Roman" w:eastAsia="Times New Roman" w:cs="Times New Roman"/>
          <w:i/>
          <w:sz w:val="24"/>
          <w:szCs w:val="24"/>
        </w:rPr>
        <w:t>English Premier League</w:t>
      </w:r>
      <w:r>
        <w:rPr>
          <w:rFonts w:ascii="Times New Roman" w:hAnsi="Times New Roman" w:eastAsia="Times New Roman" w:cs="Times New Roman"/>
          <w:sz w:val="24"/>
          <w:szCs w:val="24"/>
        </w:rPr>
        <w:t xml:space="preserve"> skuat Usia di bawah 13/14 tahun, Usia di bawah 15/16 tahun dan usia di bawah 18 tahun (Naughton et al., 2017)</w:t>
      </w:r>
    </w:p>
    <w:tbl>
      <w:tblPr>
        <w:tblStyle w:val="4"/>
        <w:tblpPr w:leftFromText="180" w:rightFromText="180" w:vertAnchor="page" w:horzAnchor="page" w:tblpX="7091" w:tblpY="3931"/>
        <w:tblOverlap w:val="never"/>
        <w:tblW w:w="4645" w:type="dxa"/>
        <w:tblInd w:w="0" w:type="dxa"/>
        <w:tblLayout w:type="fixed"/>
        <w:tblCellMar>
          <w:top w:w="0" w:type="dxa"/>
          <w:left w:w="0" w:type="dxa"/>
          <w:bottom w:w="0" w:type="dxa"/>
          <w:right w:w="0" w:type="dxa"/>
        </w:tblCellMar>
      </w:tblPr>
      <w:tblGrid>
        <w:gridCol w:w="2359"/>
        <w:gridCol w:w="2286"/>
      </w:tblGrid>
      <w:tr>
        <w:tblPrEx>
          <w:tblLayout w:type="fixed"/>
          <w:tblCellMar>
            <w:top w:w="0" w:type="dxa"/>
            <w:left w:w="0" w:type="dxa"/>
            <w:bottom w:w="0" w:type="dxa"/>
            <w:right w:w="0" w:type="dxa"/>
          </w:tblCellMar>
        </w:tblPrEx>
        <w:trPr>
          <w:trHeight w:val="216" w:hRule="atLeast"/>
        </w:trPr>
        <w:tc>
          <w:tcPr>
            <w:tcW w:w="2359" w:type="dxa"/>
            <w:tcBorders>
              <w:top w:val="single" w:color="auto" w:sz="4" w:space="0"/>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top w:val="single" w:color="auto" w:sz="4" w:space="0"/>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Serat Pangan</w:t>
            </w:r>
          </w:p>
        </w:tc>
      </w:tr>
      <w:tr>
        <w:tblPrEx>
          <w:tblLayout w:type="fixed"/>
          <w:tblCellMar>
            <w:top w:w="0" w:type="dxa"/>
            <w:left w:w="0" w:type="dxa"/>
            <w:bottom w:w="0" w:type="dxa"/>
            <w:right w:w="0" w:type="dxa"/>
          </w:tblCellMar>
        </w:tblPrEx>
        <w:trPr>
          <w:trHeight w:val="213" w:hRule="atLeast"/>
        </w:trPr>
        <w:tc>
          <w:tcPr>
            <w:tcW w:w="2359"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Skuat</w:t>
            </w:r>
          </w:p>
        </w:tc>
        <w:tc>
          <w:tcPr>
            <w:tcW w:w="2286"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215" w:hRule="atLeast"/>
        </w:trPr>
        <w:tc>
          <w:tcPr>
            <w:tcW w:w="2359"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tc>
      </w:tr>
      <w:tr>
        <w:tblPrEx>
          <w:tblLayout w:type="fixed"/>
          <w:tblCellMar>
            <w:top w:w="0" w:type="dxa"/>
            <w:left w:w="0" w:type="dxa"/>
            <w:bottom w:w="0" w:type="dxa"/>
            <w:right w:w="0" w:type="dxa"/>
          </w:tblCellMar>
        </w:tblPrEx>
        <w:trPr>
          <w:trHeight w:val="381" w:hRule="atLeast"/>
        </w:trPr>
        <w:tc>
          <w:tcPr>
            <w:tcW w:w="2359" w:type="dxa"/>
            <w:tcBorders>
              <w:left w:val="single" w:color="auto" w:sz="4" w:space="0"/>
              <w:bottom w:val="single" w:color="auto" w:sz="8"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left w:val="single" w:color="auto" w:sz="4" w:space="0"/>
              <w:bottom w:val="single" w:color="auto" w:sz="8"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198" w:hRule="atLeast"/>
        </w:trPr>
        <w:tc>
          <w:tcPr>
            <w:tcW w:w="2359"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Roti – 35</w:t>
            </w:r>
          </w:p>
        </w:tc>
      </w:tr>
      <w:tr>
        <w:tblPrEx>
          <w:tblLayout w:type="fixed"/>
          <w:tblCellMar>
            <w:top w:w="0" w:type="dxa"/>
            <w:left w:w="0" w:type="dxa"/>
            <w:bottom w:w="0" w:type="dxa"/>
            <w:right w:w="0" w:type="dxa"/>
          </w:tblCellMar>
        </w:tblPrEx>
        <w:trPr>
          <w:trHeight w:val="433" w:hRule="atLeast"/>
        </w:trPr>
        <w:tc>
          <w:tcPr>
            <w:tcW w:w="2359"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U13/14 tahun</w:t>
            </w:r>
          </w:p>
        </w:tc>
        <w:tc>
          <w:tcPr>
            <w:tcW w:w="2286"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Sereal – 25</w:t>
            </w:r>
          </w:p>
        </w:tc>
      </w:tr>
      <w:tr>
        <w:tblPrEx>
          <w:tblLayout w:type="fixed"/>
          <w:tblCellMar>
            <w:top w:w="0" w:type="dxa"/>
            <w:left w:w="0" w:type="dxa"/>
            <w:bottom w:w="0" w:type="dxa"/>
            <w:right w:w="0" w:type="dxa"/>
          </w:tblCellMar>
        </w:tblPrEx>
        <w:trPr>
          <w:trHeight w:val="425" w:hRule="atLeast"/>
        </w:trPr>
        <w:tc>
          <w:tcPr>
            <w:tcW w:w="2359" w:type="dxa"/>
            <w:tcBorders>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Sayuran – 21.7</w:t>
            </w:r>
          </w:p>
        </w:tc>
      </w:tr>
      <w:tr>
        <w:tblPrEx>
          <w:tblLayout w:type="fixed"/>
          <w:tblCellMar>
            <w:top w:w="0" w:type="dxa"/>
            <w:left w:w="0" w:type="dxa"/>
            <w:bottom w:w="0" w:type="dxa"/>
            <w:right w:w="0" w:type="dxa"/>
          </w:tblCellMar>
        </w:tblPrEx>
        <w:trPr>
          <w:trHeight w:val="593" w:hRule="atLeast"/>
        </w:trPr>
        <w:tc>
          <w:tcPr>
            <w:tcW w:w="2359" w:type="dxa"/>
            <w:tcBorders>
              <w:top w:val="single" w:color="auto" w:sz="4" w:space="0"/>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top w:val="single" w:color="auto" w:sz="4" w:space="0"/>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Roti – 38</w:t>
            </w:r>
          </w:p>
        </w:tc>
      </w:tr>
      <w:tr>
        <w:tblPrEx>
          <w:tblLayout w:type="fixed"/>
          <w:tblCellMar>
            <w:top w:w="0" w:type="dxa"/>
            <w:left w:w="0" w:type="dxa"/>
            <w:bottom w:w="0" w:type="dxa"/>
            <w:right w:w="0" w:type="dxa"/>
          </w:tblCellMar>
        </w:tblPrEx>
        <w:trPr>
          <w:trHeight w:val="433" w:hRule="atLeast"/>
        </w:trPr>
        <w:tc>
          <w:tcPr>
            <w:tcW w:w="2359"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U15/16 tahun</w:t>
            </w:r>
          </w:p>
        </w:tc>
        <w:tc>
          <w:tcPr>
            <w:tcW w:w="2286"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Sayuran – 26.8</w:t>
            </w:r>
          </w:p>
        </w:tc>
      </w:tr>
      <w:tr>
        <w:tblPrEx>
          <w:tblLayout w:type="fixed"/>
          <w:tblCellMar>
            <w:top w:w="0" w:type="dxa"/>
            <w:left w:w="0" w:type="dxa"/>
            <w:bottom w:w="0" w:type="dxa"/>
            <w:right w:w="0" w:type="dxa"/>
          </w:tblCellMar>
        </w:tblPrEx>
        <w:trPr>
          <w:trHeight w:val="422" w:hRule="atLeast"/>
        </w:trPr>
        <w:tc>
          <w:tcPr>
            <w:tcW w:w="2359" w:type="dxa"/>
            <w:tcBorders>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Buah – 16.9</w:t>
            </w:r>
          </w:p>
        </w:tc>
      </w:tr>
      <w:tr>
        <w:tblPrEx>
          <w:tblLayout w:type="fixed"/>
          <w:tblCellMar>
            <w:top w:w="0" w:type="dxa"/>
            <w:left w:w="0" w:type="dxa"/>
            <w:bottom w:w="0" w:type="dxa"/>
            <w:right w:w="0" w:type="dxa"/>
          </w:tblCellMar>
        </w:tblPrEx>
        <w:trPr>
          <w:trHeight w:val="595" w:hRule="atLeast"/>
        </w:trPr>
        <w:tc>
          <w:tcPr>
            <w:tcW w:w="2359" w:type="dxa"/>
            <w:tcBorders>
              <w:top w:val="single" w:color="auto" w:sz="4" w:space="0"/>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top w:val="single" w:color="auto" w:sz="4" w:space="0"/>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Sayuran – 48.7</w:t>
            </w:r>
          </w:p>
        </w:tc>
      </w:tr>
      <w:tr>
        <w:tblPrEx>
          <w:tblLayout w:type="fixed"/>
          <w:tblCellMar>
            <w:top w:w="0" w:type="dxa"/>
            <w:left w:w="0" w:type="dxa"/>
            <w:bottom w:w="0" w:type="dxa"/>
            <w:right w:w="0" w:type="dxa"/>
          </w:tblCellMar>
        </w:tblPrEx>
        <w:trPr>
          <w:trHeight w:val="431" w:hRule="atLeast"/>
        </w:trPr>
        <w:tc>
          <w:tcPr>
            <w:tcW w:w="2359"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U18 tahun</w:t>
            </w:r>
          </w:p>
        </w:tc>
        <w:tc>
          <w:tcPr>
            <w:tcW w:w="2286" w:type="dxa"/>
            <w:tcBorders>
              <w:left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Buah – 17.9</w:t>
            </w:r>
          </w:p>
        </w:tc>
      </w:tr>
      <w:tr>
        <w:tblPrEx>
          <w:tblLayout w:type="fixed"/>
          <w:tblCellMar>
            <w:top w:w="0" w:type="dxa"/>
            <w:left w:w="0" w:type="dxa"/>
            <w:bottom w:w="0" w:type="dxa"/>
            <w:right w:w="0" w:type="dxa"/>
          </w:tblCellMar>
        </w:tblPrEx>
        <w:trPr>
          <w:trHeight w:val="425" w:hRule="atLeast"/>
        </w:trPr>
        <w:tc>
          <w:tcPr>
            <w:tcW w:w="2359" w:type="dxa"/>
            <w:tcBorders>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p>
        </w:tc>
        <w:tc>
          <w:tcPr>
            <w:tcW w:w="2286" w:type="dxa"/>
            <w:tcBorders>
              <w:left w:val="single" w:color="auto" w:sz="4" w:space="0"/>
              <w:bottom w:val="single" w:color="auto" w:sz="4" w:space="0"/>
              <w:right w:val="single" w:color="auto" w:sz="4" w:space="0"/>
            </w:tcBorders>
            <w:shd w:val="clear" w:color="auto" w:fill="auto"/>
            <w:vAlign w:val="bottom"/>
          </w:tcPr>
          <w:p>
            <w:pPr>
              <w:spacing w:after="0" w:line="240" w:lineRule="auto"/>
              <w:ind w:left="80" w:right="66" w:firstLine="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Roti – 17.9</w:t>
            </w:r>
          </w:p>
        </w:tc>
      </w:tr>
    </w:tbl>
    <w:p>
      <w:pPr>
        <w:spacing w:after="0" w:line="240" w:lineRule="auto"/>
        <w:ind w:left="80" w:right="66" w:firstLine="431"/>
        <w:jc w:val="both"/>
        <w:rPr>
          <w:rFonts w:ascii="Times New Roman" w:hAnsi="Times New Roman" w:eastAsia="Times New Roman" w:cs="Times New Roman"/>
          <w:sz w:val="24"/>
          <w:szCs w:val="24"/>
        </w:rPr>
      </w:pPr>
    </w:p>
    <w:p>
      <w:pPr>
        <w:spacing w:after="0" w:line="240" w:lineRule="auto"/>
        <w:ind w:right="66"/>
        <w:jc w:val="both"/>
        <w:rPr>
          <w:rFonts w:ascii="Times New Roman" w:hAnsi="Times New Roman" w:eastAsia="Times New Roman" w:cs="Times New Roman"/>
          <w:sz w:val="24"/>
          <w:szCs w:val="24"/>
        </w:rPr>
        <w:sectPr>
          <w:type w:val="continuous"/>
          <w:pgSz w:w="12240" w:h="15840"/>
          <w:pgMar w:top="191" w:right="160" w:bottom="170" w:left="1440" w:header="0" w:footer="0" w:gutter="0"/>
          <w:cols w:equalWidth="0" w:num="2">
            <w:col w:w="5107" w:space="425"/>
            <w:col w:w="5107"/>
          </w:cols>
          <w:docGrid w:linePitch="360" w:charSpace="0"/>
        </w:sectPr>
      </w:pPr>
      <w:bookmarkStart w:id="31" w:name="_GoBack"/>
      <w:bookmarkEnd w:id="31"/>
    </w:p>
    <w:bookmarkEnd w:id="25"/>
    <w:p>
      <w:pPr>
        <w:spacing w:after="0" w:line="240" w:lineRule="auto"/>
        <w:ind w:right="66"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Serat pangan, secara prinsip merupakan non pati polisakarida dan lignin yang didapat dari dinding sel tumbuhan, tidak dicerna dengan menggunakan enzim dari system pencernaan manusia, namun menjadi komponen yang penting di dalam diet makanan (DeVries et al. </w:t>
      </w:r>
      <w:r>
        <w:fldChar w:fldCharType="begin"/>
      </w:r>
      <w:r>
        <w:instrText xml:space="preserve"> HYPERLINK \l "page19" </w:instrText>
      </w:r>
      <w:r>
        <w:fldChar w:fldCharType="separate"/>
      </w:r>
      <w:r>
        <w:rPr>
          <w:rStyle w:val="3"/>
          <w:rFonts w:ascii="Times New Roman" w:hAnsi="Times New Roman" w:eastAsia="Times New Roman" w:cs="Times New Roman"/>
          <w:color w:val="auto"/>
          <w:sz w:val="24"/>
          <w:szCs w:val="24"/>
          <w:u w:val="none"/>
        </w:rPr>
        <w:t>1999</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Serat pangan dapat dikategorikan menjadi dua berdasarkan sifat kelarutannya pada air. Setiap kategori menyuguhkan efek yang berbeda. Serat yang larut air (</w:t>
      </w:r>
      <w:r>
        <w:rPr>
          <w:rFonts w:ascii="Times New Roman" w:hAnsi="Times New Roman" w:eastAsia="Times New Roman" w:cs="Times New Roman"/>
          <w:i/>
          <w:sz w:val="24"/>
          <w:szCs w:val="24"/>
        </w:rPr>
        <w:t>soluble dietary fiber</w:t>
      </w:r>
      <w:r>
        <w:rPr>
          <w:rFonts w:ascii="Times New Roman" w:hAnsi="Times New Roman" w:eastAsia="Times New Roman" w:cs="Times New Roman"/>
          <w:sz w:val="24"/>
          <w:szCs w:val="24"/>
        </w:rPr>
        <w:t>) terdiri dari polisakarida non tepung, terutama β-glucan dan arabinoxylan. Serat yang tidak larut air (</w:t>
      </w:r>
      <w:r>
        <w:rPr>
          <w:rFonts w:ascii="Times New Roman" w:hAnsi="Times New Roman" w:eastAsia="Times New Roman" w:cs="Times New Roman"/>
          <w:i/>
          <w:sz w:val="24"/>
          <w:szCs w:val="24"/>
        </w:rPr>
        <w:t>insoluble dietary fiber</w:t>
      </w:r>
      <w:r>
        <w:rPr>
          <w:rFonts w:ascii="Times New Roman" w:hAnsi="Times New Roman" w:eastAsia="Times New Roman" w:cs="Times New Roman"/>
          <w:sz w:val="24"/>
          <w:szCs w:val="24"/>
        </w:rPr>
        <w:t xml:space="preserve">) terdiri dari lignin, selulosa, dan hemi-selulosa (Bingham </w:t>
      </w:r>
      <w:r>
        <w:fldChar w:fldCharType="begin"/>
      </w:r>
      <w:r>
        <w:instrText xml:space="preserve"> HYPERLINK \l "page18" </w:instrText>
      </w:r>
      <w:r>
        <w:fldChar w:fldCharType="separate"/>
      </w:r>
      <w:r>
        <w:rPr>
          <w:rStyle w:val="3"/>
          <w:rFonts w:ascii="Times New Roman" w:hAnsi="Times New Roman" w:eastAsia="Times New Roman" w:cs="Times New Roman"/>
          <w:color w:val="auto"/>
          <w:sz w:val="24"/>
          <w:szCs w:val="24"/>
          <w:u w:val="none"/>
        </w:rPr>
        <w:t>1987</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xml:space="preserve">; Marlett </w:t>
      </w:r>
      <w:r>
        <w:fldChar w:fldCharType="begin"/>
      </w:r>
      <w:r>
        <w:instrText xml:space="preserve"> HYPERLINK \l "page19" </w:instrText>
      </w:r>
      <w:r>
        <w:fldChar w:fldCharType="separate"/>
      </w:r>
      <w:r>
        <w:rPr>
          <w:rStyle w:val="3"/>
          <w:rFonts w:ascii="Times New Roman" w:hAnsi="Times New Roman" w:eastAsia="Times New Roman" w:cs="Times New Roman"/>
          <w:color w:val="auto"/>
          <w:sz w:val="24"/>
          <w:szCs w:val="24"/>
          <w:u w:val="none"/>
        </w:rPr>
        <w:t>1990</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xml:space="preserve">), dan polisakarida non tepung seperti arabinoxylan. Manfaat kesehatan terkait dengan asupan tinggi akan serat pangan adalah dapat memperlambat penyerapan glukosa, meningkatkan kepadatan feses, menurunkan kadar lemak dalam darah, mencegah kanker usus besar, sebagai pelindung system pencernaan, meningkatkan pergerakan dari usus, meningkatkan waktu transit fekalit dan fermentasinya (Tharanathan dan Mahadevamma </w:t>
      </w:r>
      <w:r>
        <w:fldChar w:fldCharType="begin"/>
      </w:r>
      <w:r>
        <w:instrText xml:space="preserve"> HYPERLINK \l "page21" </w:instrText>
      </w:r>
      <w:r>
        <w:fldChar w:fldCharType="separate"/>
      </w:r>
      <w:r>
        <w:rPr>
          <w:rStyle w:val="3"/>
          <w:rFonts w:ascii="Times New Roman" w:hAnsi="Times New Roman" w:eastAsia="Times New Roman" w:cs="Times New Roman"/>
          <w:color w:val="auto"/>
          <w:sz w:val="24"/>
          <w:szCs w:val="24"/>
          <w:u w:val="none"/>
        </w:rPr>
        <w:t>2003</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xml:space="preserve">). </w:t>
      </w:r>
    </w:p>
    <w:p>
      <w:pPr>
        <w:spacing w:after="0" w:line="240" w:lineRule="auto"/>
        <w:ind w:left="80" w:right="66" w:firstLine="6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Bagian dari serat pangan yang larut air sangat penting di dalam makanan karena mereka dapat menjebak substansi lemak ke dalam saluran pencernaan dan sekaligus, menurunkan kadar kolesterol di dalam darah serta menurunkan resiko penyakit jantung. Serat pangan yang larut dalam air ini memiliki fungsi yang luas dikarenakan kemampuannya untuk mengabsorpsi air dan membentuk suatu struktur seperti jel, dan serat ini hamper sepenuhnya di fermentasi oleh mikroflora di dalam usus besar, menimbulkan efek metabolik dari serat (Lopez et al. </w:t>
      </w:r>
      <w:r>
        <w:fldChar w:fldCharType="begin"/>
      </w:r>
      <w:r>
        <w:instrText xml:space="preserve"> HYPERLINK \l "page19" </w:instrText>
      </w:r>
      <w:r>
        <w:fldChar w:fldCharType="separate"/>
      </w:r>
      <w:r>
        <w:rPr>
          <w:rStyle w:val="3"/>
          <w:rFonts w:ascii="Times New Roman" w:hAnsi="Times New Roman" w:eastAsia="Times New Roman" w:cs="Times New Roman"/>
          <w:color w:val="auto"/>
          <w:sz w:val="24"/>
          <w:szCs w:val="24"/>
          <w:u w:val="none"/>
        </w:rPr>
        <w:t>1999</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xml:space="preserve">). Kemampuan dari serat pangan yang larut dalam air ini dapat menahan penyerapan glukosa di dalam usus halus yang dapat menjadi makanan yang cocok bagi individu yang menderita diabetes (Onyango et al. </w:t>
      </w:r>
      <w:r>
        <w:fldChar w:fldCharType="begin"/>
      </w:r>
      <w:r>
        <w:instrText xml:space="preserve"> HYPERLINK \l "page20" </w:instrText>
      </w:r>
      <w:r>
        <w:fldChar w:fldCharType="separate"/>
      </w:r>
      <w:r>
        <w:rPr>
          <w:rStyle w:val="3"/>
          <w:rFonts w:ascii="Times New Roman" w:hAnsi="Times New Roman" w:eastAsia="Times New Roman" w:cs="Times New Roman"/>
          <w:color w:val="auto"/>
          <w:sz w:val="24"/>
          <w:szCs w:val="24"/>
          <w:u w:val="none"/>
        </w:rPr>
        <w:t>2004</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xml:space="preserve">). Peningkatan konten dari serat yang larut air ini dalam sebuah produk makanan akan kemudian memiliki signifikansi terhadap nutrisi suatu makanan akibat dari keuntungan fisiologis dalam hal ini untuk menurunkan kadar glukosa dan kolestrol dalam darah (Shobana dan Malleshi </w:t>
      </w:r>
      <w:r>
        <w:fldChar w:fldCharType="begin"/>
      </w:r>
      <w:r>
        <w:instrText xml:space="preserve"> HYPERLINK \l "page20" </w:instrText>
      </w:r>
      <w:r>
        <w:fldChar w:fldCharType="separate"/>
      </w:r>
      <w:r>
        <w:rPr>
          <w:rStyle w:val="3"/>
          <w:rFonts w:ascii="Times New Roman" w:hAnsi="Times New Roman" w:eastAsia="Times New Roman" w:cs="Times New Roman"/>
          <w:color w:val="auto"/>
          <w:sz w:val="24"/>
          <w:szCs w:val="24"/>
          <w:u w:val="none"/>
        </w:rPr>
        <w:t>2007</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 Sehingga dalam kasus ini pemain sepakbola terhindar dari bahaya kelebihan berat badan atau obesitas.</w:t>
      </w:r>
    </w:p>
    <w:p>
      <w:pPr>
        <w:spacing w:after="0" w:line="240" w:lineRule="auto"/>
        <w:ind w:left="80" w:right="66" w:firstLine="6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Serat pangan yang larut air dapat menurunkan kadar serum kolesterol, glukosa darah setelah makan, dan konten insulin di dalam tubuh pemain sepakbola. Sementara serat pangan yang tidak larut dalam air juga mempunyai dampak yang besar terhadap waktu transit pada sistem pencernaan, mengikat air, mempercepat transit di usus, pemadatan feses dan mengikat beberapa senyawa penyebab kanker. Serat pangan tidak larut air ini dapat mereduksi waktu kontak sejumlah mutagen (bahan yang menyebabkan mutasi) di dalam fekalit terhadap epitel usus dan memodifikasi aktivitas mikroflora di dalam sistem pencernaan dan ujungnya dapat menekan produksi mutagen. Beberapa sumber serat pangan dapat menyerap mutagen dan membuangnya ke dalam feses (Thebaudin et al. </w:t>
      </w:r>
      <w:r>
        <w:fldChar w:fldCharType="begin"/>
      </w:r>
      <w:r>
        <w:instrText xml:space="preserve"> HYPERLINK \l "page21" </w:instrText>
      </w:r>
      <w:r>
        <w:fldChar w:fldCharType="separate"/>
      </w:r>
      <w:r>
        <w:rPr>
          <w:rStyle w:val="3"/>
          <w:rFonts w:ascii="Times New Roman" w:hAnsi="Times New Roman" w:eastAsia="Times New Roman" w:cs="Times New Roman"/>
          <w:color w:val="auto"/>
          <w:sz w:val="24"/>
          <w:szCs w:val="24"/>
          <w:u w:val="none"/>
        </w:rPr>
        <w:t>1997</w:t>
      </w:r>
      <w:r>
        <w:rPr>
          <w:rStyle w:val="3"/>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w:t>
      </w:r>
    </w:p>
    <w:p>
      <w:pPr>
        <w:spacing w:after="0" w:line="240" w:lineRule="auto"/>
        <w:ind w:left="80" w:right="66" w:firstLine="6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Panduan dari negara Inggris raya terkait asupan harian serat pangan adalah 25g/hari untuk anak-anak di bawah 16 tahun, dan 30g/hari untuk orang dewasa (SACN, 2015). Pada kenyataannya asupan nutrisi harian pada data tahun 2015 yang didapatkan dari Inggris adalah masih di bawah rekomendasi yaitu 11-12g/hari pada anak-anak dan pada orang dewasa 14g/hari (SACN, 2015). Terkait penelitian yang menghubungkan peranan serat terhadap performa sepakbola memang masih jarang, namun terdapat satu temuan terkait asupan nutrisi pemain muda Inggris (Russell &amp; Pennock, 2011), mendapatkan data asupan nutrisi pemain U18 sebesar 16g/hari. Asupan serat pangan yang tinggi terbukti memiliki hubungan yang bertolak belakang dengan obesitas (Lairon et al., 2005), diabetes (Montonen et al., 2003), penyakit kardiovaskular (Butcher &amp; Beckstrand, 2010), dan gangguan pencernaan (Pituch-Zdanowska et al., 2015). </w:t>
      </w:r>
    </w:p>
    <w:p>
      <w:pPr>
        <w:spacing w:after="0" w:line="240" w:lineRule="auto"/>
        <w:ind w:left="80" w:right="66" w:firstLine="6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Berhubung dengan penemuan dan pentingnya serat pangan yang digaungkan oleh para ahli kesehatan, data menunjukkan adanya peningkatan asupan serat pangan yang signifkan pada penelitian lain pada tahun 2017, diantaranya anak-anak 11-16 tahun asupan serat pangan dari 18g/hari menjadi 25g/hari, dan yang diatas 16 tahun dari 25g/hari menjadi 30g/hari </w:t>
      </w:r>
      <w:bookmarkStart w:id="26" w:name="_Hlk512011029"/>
      <w:r>
        <w:rPr>
          <w:rFonts w:ascii="Times New Roman" w:hAnsi="Times New Roman" w:eastAsia="Times New Roman" w:cs="Times New Roman"/>
          <w:sz w:val="24"/>
          <w:szCs w:val="24"/>
        </w:rPr>
        <w:t>(Naughton et al., 2017)</w:t>
      </w:r>
      <w:bookmarkEnd w:id="26"/>
      <w:r>
        <w:rPr>
          <w:rFonts w:ascii="Times New Roman" w:hAnsi="Times New Roman" w:eastAsia="Times New Roman" w:cs="Times New Roman"/>
          <w:sz w:val="24"/>
          <w:szCs w:val="24"/>
        </w:rPr>
        <w:t xml:space="preserve">. Didapatkan rata-rata konsumsi serat pangan pada pemain sepakbola muda yaitu untuk umur di bawah U13/14 19.0 ± 4.7g; dibawah U15/16 19.6 ± 8.3g; dan di bawah U18 17.1 ± 4.2g. Para pemain di bawah U18 tahun mengkonsumsi lebih sedikit seral dan produk-produk roti sehingga didapatkan asupannya rendah </w:t>
      </w:r>
      <w:bookmarkStart w:id="27" w:name="_Hlk512010710"/>
      <w:r>
        <w:rPr>
          <w:rFonts w:ascii="Times New Roman" w:hAnsi="Times New Roman" w:eastAsia="Times New Roman" w:cs="Times New Roman"/>
          <w:sz w:val="24"/>
          <w:szCs w:val="24"/>
        </w:rPr>
        <w:t>(Naughton et al., 2016)</w:t>
      </w:r>
      <w:bookmarkEnd w:id="27"/>
      <w:r>
        <w:rPr>
          <w:rFonts w:ascii="Times New Roman" w:hAnsi="Times New Roman" w:eastAsia="Times New Roman" w:cs="Times New Roman"/>
          <w:sz w:val="24"/>
          <w:szCs w:val="24"/>
        </w:rPr>
        <w:t>, untuk konsumsi lain mereka masih sama dengan asupan pemain muda yang lain seperti sayur-sayuran namun ternyata mereka terbiasa dengan makanan-makanan yang rendah akan karbohidrat (Naughton et al., 2016).</w:t>
      </w:r>
    </w:p>
    <w:bookmarkEnd w:id="21"/>
    <w:p>
      <w:pPr>
        <w:spacing w:after="0" w:line="240" w:lineRule="auto"/>
        <w:ind w:right="66"/>
        <w:jc w:val="both"/>
        <w:rPr>
          <w:rFonts w:ascii="Times New Roman" w:hAnsi="Times New Roman" w:eastAsia="Times New Roman" w:cs="Times New Roman"/>
          <w:sz w:val="24"/>
          <w:szCs w:val="24"/>
        </w:rPr>
      </w:pPr>
    </w:p>
    <w:p>
      <w:pPr>
        <w:pStyle w:val="6"/>
        <w:numPr>
          <w:ilvl w:val="0"/>
          <w:numId w:val="1"/>
        </w:numPr>
        <w:spacing w:after="0" w:line="240" w:lineRule="auto"/>
        <w:ind w:right="6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Simpulan</w:t>
      </w:r>
    </w:p>
    <w:p>
      <w:pPr>
        <w:pStyle w:val="6"/>
        <w:spacing w:after="0" w:line="240" w:lineRule="auto"/>
        <w:ind w:left="360" w:right="66"/>
        <w:jc w:val="both"/>
        <w:rPr>
          <w:rFonts w:ascii="Times New Roman" w:hAnsi="Times New Roman" w:eastAsia="Times New Roman" w:cs="Times New Roman"/>
          <w:sz w:val="24"/>
          <w:szCs w:val="24"/>
        </w:rPr>
      </w:pPr>
    </w:p>
    <w:p>
      <w:pPr>
        <w:spacing w:after="0" w:line="240" w:lineRule="auto"/>
        <w:ind w:right="66" w:firstLine="720"/>
        <w:jc w:val="both"/>
        <w:rPr>
          <w:rFonts w:ascii="Times New Roman" w:hAnsi="Times New Roman" w:eastAsia="Times New Roman" w:cs="Times New Roman"/>
          <w:sz w:val="24"/>
          <w:szCs w:val="24"/>
        </w:rPr>
      </w:pPr>
      <w:bookmarkStart w:id="28" w:name="_Hlk512254195"/>
      <w:r>
        <w:rPr>
          <w:rFonts w:ascii="Times New Roman" w:hAnsi="Times New Roman" w:eastAsia="Times New Roman" w:cs="Times New Roman"/>
          <w:sz w:val="24"/>
          <w:szCs w:val="24"/>
        </w:rPr>
        <w:t>Sepakbola sebagai olahraga yang aerobik dominan, dalam artian pada aktivitas pertandingannya dominan menggunakan sistem penyediaan energi metabolisme dengan substrat oksigen. Tentunya metabolisme aerob ini tidak hanya memerlukan oksigen saja melainkan karbohidrat dalam hal ini adalah glukosa sebagai molekul yang paling sederhana yang bisa dikonversikan menjadi energi. Dan tentunya bentuk gula ini dapat didapat dengan mengatur asupan nutrisi yang benar dalam hal ini untuk pesepakbola sehingga kadar glikogen dalam otot dan hati dapat membantu performa sang pemain. Didapatkan bahwa para pemain dapat mengkonsumsi karbohidrat sebelum dan saat pertandingan sepakbola, efek yang didapat adalah tidak ada perubahan signifikan secara langsung terhadap kemampuan teknis namun dapat mempengaruhi ketahanan pemain sehingga para pemain yang kurang mengkonsumsi karbohidrat menjadi lebih awal menderita kelelahan kemudian aspek teknisnya secara tidak langsung ikut terpengaruhi. Di sepakbola Eropa asupan nutrisi khususnya sudah sangat diperhatikan mulai dari usia dini ditunjukkan dari hasil penelitian pada pemain sepakbola elit muda liga Inggris, hal yang harus mulai diperhatikan sekolah-sekolah sepakbola di Indonesia untuk lebih memperhatikan asupan gizi muridnya.</w:t>
      </w:r>
    </w:p>
    <w:p>
      <w:pPr>
        <w:spacing w:after="0" w:line="240" w:lineRule="auto"/>
        <w:ind w:right="66"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Bagian lain yang menarik untuk dibahas adalah terkait serat pangan, bagian dari karbohidrat yang tidak dicerna oleh tubuh, didapatkan berasal dari dinding sel tumbuhan, yang sering dihubungkan terhadap makanan yang memiliki kadar nutrisi yang tinggi Penggunaan sereal gandum meningkat drastis di seluruh dunia, dikarenakan mengandung bahan fitokimia dan serat pangan yang dapat memberikan manfaat kesehatan Sereal gandum adalah salah satu jenis makanan yang paling umum digunakan sebagai sumber kaya serat pangan pada data temuan anak sekolah sepakbola di Inggris. Menkonsumsi serat pada pemain sepakbola, yang terbukti meningkatkan kualitas konten dari asupan nutrisi dapat digunakan sebagai pencegahan masalah kesehatan yang serius, khususnya pada sistem pencernaan sang pemain.</w:t>
      </w:r>
    </w:p>
    <w:p>
      <w:pPr>
        <w:spacing w:after="0" w:line="240" w:lineRule="auto"/>
        <w:ind w:right="66" w:firstLine="360"/>
        <w:jc w:val="both"/>
        <w:rPr>
          <w:rFonts w:ascii="Times New Roman" w:hAnsi="Times New Roman" w:eastAsia="Times New Roman" w:cs="Times New Roman"/>
          <w:sz w:val="24"/>
          <w:szCs w:val="24"/>
        </w:rPr>
      </w:pPr>
    </w:p>
    <w:p>
      <w:pPr>
        <w:pStyle w:val="6"/>
        <w:numPr>
          <w:ilvl w:val="0"/>
          <w:numId w:val="1"/>
        </w:numPr>
        <w:spacing w:after="0" w:line="240" w:lineRule="auto"/>
        <w:ind w:right="66"/>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Saran</w:t>
      </w:r>
    </w:p>
    <w:p>
      <w:pPr>
        <w:pStyle w:val="6"/>
        <w:spacing w:after="0" w:line="240" w:lineRule="auto"/>
        <w:ind w:left="360" w:right="66"/>
        <w:jc w:val="both"/>
        <w:rPr>
          <w:rFonts w:ascii="Times New Roman" w:hAnsi="Times New Roman" w:eastAsia="Times New Roman" w:cs="Times New Roman"/>
          <w:b/>
          <w:sz w:val="24"/>
          <w:szCs w:val="24"/>
        </w:rPr>
      </w:pPr>
    </w:p>
    <w:p>
      <w:pPr>
        <w:spacing w:after="0" w:line="240" w:lineRule="auto"/>
        <w:ind w:right="66"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Nutrisi adalah aspek yang sangat penting di dalam perkembangan sepakbola, khususnya pada pertumbuhan dan perkembangan </w:t>
      </w:r>
      <w:r>
        <w:rPr>
          <w:rFonts w:ascii="Times New Roman" w:hAnsi="Times New Roman" w:eastAsia="Times New Roman" w:cs="Times New Roman"/>
          <w:i/>
          <w:sz w:val="24"/>
          <w:szCs w:val="24"/>
        </w:rPr>
        <w:t xml:space="preserve">youth soccer players </w:t>
      </w:r>
      <w:r>
        <w:rPr>
          <w:rFonts w:ascii="Times New Roman" w:hAnsi="Times New Roman" w:eastAsia="Times New Roman" w:cs="Times New Roman"/>
          <w:sz w:val="24"/>
          <w:szCs w:val="24"/>
        </w:rPr>
        <w:t xml:space="preserve">atau pembinaan sejak dini di level </w:t>
      </w:r>
      <w:r>
        <w:rPr>
          <w:rFonts w:ascii="Times New Roman" w:hAnsi="Times New Roman" w:eastAsia="Times New Roman" w:cs="Times New Roman"/>
          <w:i/>
          <w:sz w:val="24"/>
          <w:szCs w:val="24"/>
        </w:rPr>
        <w:t>grass roots</w:t>
      </w:r>
      <w:r>
        <w:rPr>
          <w:rFonts w:ascii="Times New Roman" w:hAnsi="Times New Roman" w:eastAsia="Times New Roman" w:cs="Times New Roman"/>
          <w:sz w:val="24"/>
          <w:szCs w:val="24"/>
        </w:rPr>
        <w:t>. Untuk membentuk sebuah skuad sepakbola yang kompetitif dibutuhkan investasi besar untuk asupan nutrisi ini. Sekiranya pemangku kepentingan di sepakbola Indonesia dapat lebih memperhatikan terkait ilmu gizi ini. Sekiranya kita dapat memulainya dari sekolah-sekolah sepakbola yang sudah ada tersebar di seluruh penjuru nusantara dan memberikan panduan khusus terkait gizi pada anak sekolah sepakbola. Pembahasan lebih lanjut dibutuhkan terkait makronutri dan mikronutrisi yang dibutuhkan pemain sepakbola. Contohnya peran protein dan lemak pada pemain sepakbola, serta mikronutrien penting seperti mineral besi, vitamin, zinc dan mikronutrien lain yang dapat menjadi suplemen penting peningkat performa sepakbola di dalam pertandingan.</w:t>
      </w:r>
    </w:p>
    <w:bookmarkEnd w:id="28"/>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Daftar Pustaka</w:t>
      </w:r>
    </w:p>
    <w:p>
      <w:pPr>
        <w:spacing w:after="0" w:line="240" w:lineRule="auto"/>
        <w:ind w:left="560" w:right="20" w:hanging="566"/>
        <w:jc w:val="both"/>
        <w:rPr>
          <w:rFonts w:ascii="Times New Roman" w:hAnsi="Times New Roman" w:eastAsia="Arial Narrow" w:cs="Times New Roman"/>
          <w:sz w:val="24"/>
          <w:szCs w:val="20"/>
        </w:rPr>
      </w:pPr>
      <w:bookmarkStart w:id="29" w:name="_Hlk512254230"/>
      <w:r>
        <w:rPr>
          <w:rFonts w:ascii="Times New Roman" w:hAnsi="Times New Roman" w:eastAsia="Arial Narrow" w:cs="Times New Roman"/>
          <w:sz w:val="24"/>
          <w:szCs w:val="20"/>
        </w:rPr>
        <w:t xml:space="preserve">Ali, A., Williams, C., Nicholas, C. and Foskett, A. (2007) The influence of carbohydrate-electrolyte ingestion on soccer skill performance. </w:t>
      </w:r>
      <w:r>
        <w:rPr>
          <w:rFonts w:ascii="Times New Roman" w:hAnsi="Times New Roman" w:eastAsia="Arial Narrow" w:cs="Times New Roman"/>
          <w:i/>
          <w:sz w:val="24"/>
          <w:szCs w:val="20"/>
        </w:rPr>
        <w:t>Medicine and Science in Sports and Exercise,</w:t>
      </w:r>
      <w:r>
        <w:rPr>
          <w:rFonts w:ascii="Times New Roman" w:hAnsi="Times New Roman" w:eastAsia="Arial Narrow" w:cs="Times New Roman"/>
          <w:sz w:val="24"/>
          <w:szCs w:val="20"/>
        </w:rPr>
        <w:t xml:space="preserve"> 39, 1969-1976.</w:t>
      </w:r>
    </w:p>
    <w:p>
      <w:pPr>
        <w:spacing w:after="0" w:line="240" w:lineRule="auto"/>
        <w:ind w:left="560" w:right="20" w:hanging="566"/>
        <w:jc w:val="both"/>
        <w:rPr>
          <w:rFonts w:ascii="Times New Roman" w:hAnsi="Times New Roman" w:eastAsia="Arial Narrow" w:cs="Times New Roman"/>
          <w:sz w:val="24"/>
          <w:szCs w:val="20"/>
        </w:rPr>
      </w:pP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Bangsbo, J. (1994) </w:t>
      </w:r>
      <w:r>
        <w:rPr>
          <w:rFonts w:ascii="Times New Roman" w:hAnsi="Times New Roman" w:eastAsia="Times New Roman" w:cs="Times New Roman"/>
          <w:i/>
          <w:sz w:val="24"/>
          <w:szCs w:val="24"/>
        </w:rPr>
        <w:t>Fitness training in football.</w:t>
      </w:r>
      <w:r>
        <w:rPr>
          <w:rFonts w:ascii="Times New Roman" w:hAnsi="Times New Roman" w:eastAsia="Times New Roman" w:cs="Times New Roman"/>
          <w:sz w:val="24"/>
          <w:szCs w:val="24"/>
        </w:rPr>
        <w:t xml:space="preserve"> Bagsvaerd: HO+Storm.</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Bingham S (1987) Definitions and intakes of dietary fiber. Am J Clin Nutr 45:1226–123</w:t>
      </w:r>
    </w:p>
    <w:p>
      <w:pPr>
        <w:spacing w:after="0" w:line="240" w:lineRule="auto"/>
        <w:ind w:left="560" w:right="20" w:hanging="566"/>
        <w:jc w:val="both"/>
        <w:rPr>
          <w:rFonts w:ascii="Times New Roman" w:hAnsi="Times New Roman" w:eastAsia="Arial Narrow" w:cs="Times New Roman"/>
          <w:sz w:val="24"/>
          <w:szCs w:val="20"/>
        </w:rPr>
      </w:pPr>
      <w:r>
        <w:rPr>
          <w:rFonts w:ascii="Times New Roman" w:hAnsi="Times New Roman" w:eastAsia="Arial Narrow" w:cs="Times New Roman"/>
          <w:sz w:val="24"/>
          <w:szCs w:val="20"/>
        </w:rPr>
        <w:t xml:space="preserve">Burke, L., Loucks, A. and Broad, N. (2006) Energy and carbohydrate for training and recovery. </w:t>
      </w:r>
      <w:r>
        <w:rPr>
          <w:rFonts w:ascii="Times New Roman" w:hAnsi="Times New Roman" w:eastAsia="Arial Narrow" w:cs="Times New Roman"/>
          <w:i/>
          <w:sz w:val="24"/>
          <w:szCs w:val="20"/>
        </w:rPr>
        <w:t>Journal of Sports</w:t>
      </w:r>
      <w:r>
        <w:rPr>
          <w:rFonts w:ascii="Times New Roman" w:hAnsi="Times New Roman" w:eastAsia="Arial Narrow" w:cs="Times New Roman"/>
          <w:sz w:val="24"/>
          <w:szCs w:val="20"/>
        </w:rPr>
        <w:t xml:space="preserve"> </w:t>
      </w:r>
      <w:r>
        <w:rPr>
          <w:rFonts w:ascii="Times New Roman" w:hAnsi="Times New Roman" w:eastAsia="Arial Narrow" w:cs="Times New Roman"/>
          <w:i/>
          <w:sz w:val="24"/>
          <w:szCs w:val="20"/>
        </w:rPr>
        <w:t xml:space="preserve">Science, </w:t>
      </w:r>
      <w:r>
        <w:rPr>
          <w:rFonts w:ascii="Times New Roman" w:hAnsi="Times New Roman" w:eastAsia="Arial Narrow" w:cs="Times New Roman"/>
          <w:sz w:val="24"/>
          <w:szCs w:val="20"/>
        </w:rPr>
        <w:t>24, 675-685.</w:t>
      </w:r>
    </w:p>
    <w:p>
      <w:pPr>
        <w:spacing w:after="0" w:line="240" w:lineRule="auto"/>
        <w:ind w:left="560" w:right="20" w:hanging="566"/>
        <w:jc w:val="both"/>
        <w:rPr>
          <w:rFonts w:ascii="Times New Roman" w:hAnsi="Times New Roman" w:eastAsia="Arial Narrow" w:cs="Times New Roman"/>
          <w:sz w:val="24"/>
          <w:szCs w:val="20"/>
        </w:rPr>
      </w:pPr>
    </w:p>
    <w:p>
      <w:pPr>
        <w:spacing w:after="0" w:line="240" w:lineRule="auto"/>
        <w:ind w:left="560" w:right="20" w:hanging="566"/>
        <w:jc w:val="both"/>
        <w:rPr>
          <w:rFonts w:ascii="Times New Roman" w:hAnsi="Times New Roman" w:eastAsia="Arial Narrow" w:cs="Times New Roman"/>
          <w:sz w:val="24"/>
          <w:szCs w:val="20"/>
        </w:rPr>
      </w:pPr>
      <w:r>
        <w:rPr>
          <w:rFonts w:ascii="Times New Roman" w:hAnsi="Times New Roman" w:eastAsia="Arial Narrow" w:cs="Times New Roman"/>
          <w:sz w:val="24"/>
          <w:szCs w:val="20"/>
        </w:rPr>
        <w:t xml:space="preserve">Butcher, J. L., &amp; Beckstrand, R. L. 2010. Fiber’s impact on high-sensitivity C-reactive protein levels in cardiovascular disease. </w:t>
      </w:r>
      <w:r>
        <w:rPr>
          <w:rFonts w:ascii="Times New Roman" w:hAnsi="Times New Roman" w:eastAsia="Arial Narrow" w:cs="Times New Roman"/>
          <w:i/>
          <w:sz w:val="24"/>
          <w:szCs w:val="20"/>
        </w:rPr>
        <w:t>J. Am. Acad. Nurse Pract.</w:t>
      </w:r>
      <w:r>
        <w:rPr>
          <w:rFonts w:ascii="Times New Roman" w:hAnsi="Times New Roman" w:eastAsia="Arial Narrow" w:cs="Times New Roman"/>
          <w:sz w:val="24"/>
          <w:szCs w:val="20"/>
        </w:rPr>
        <w:t xml:space="preserve">, </w:t>
      </w:r>
      <w:r>
        <w:rPr>
          <w:rFonts w:ascii="Times New Roman" w:hAnsi="Times New Roman" w:eastAsia="Arial Narrow" w:cs="Times New Roman"/>
          <w:i/>
          <w:sz w:val="24"/>
          <w:szCs w:val="20"/>
        </w:rPr>
        <w:t>22</w:t>
      </w:r>
      <w:r>
        <w:rPr>
          <w:rFonts w:ascii="Times New Roman" w:hAnsi="Times New Roman" w:eastAsia="Arial Narrow" w:cs="Times New Roman"/>
          <w:sz w:val="24"/>
          <w:szCs w:val="20"/>
        </w:rPr>
        <w:t>(11), 566–572. doi:10.1111/j.1745-7599.2010.00555.x.</w:t>
      </w:r>
    </w:p>
    <w:p>
      <w:pPr>
        <w:spacing w:after="0" w:line="240" w:lineRule="auto"/>
        <w:ind w:left="560" w:right="20" w:hanging="566"/>
        <w:jc w:val="both"/>
        <w:rPr>
          <w:rFonts w:ascii="Times New Roman" w:hAnsi="Times New Roman" w:eastAsia="Arial Narrow" w:cs="Times New Roman"/>
          <w:sz w:val="24"/>
          <w:szCs w:val="20"/>
        </w:rPr>
      </w:pPr>
    </w:p>
    <w:p>
      <w:pPr>
        <w:spacing w:after="0" w:line="240" w:lineRule="auto"/>
        <w:ind w:left="560" w:hanging="566"/>
        <w:jc w:val="both"/>
        <w:rPr>
          <w:rFonts w:ascii="Times New Roman" w:hAnsi="Times New Roman" w:eastAsia="Arial Narrow" w:cs="Times New Roman"/>
          <w:sz w:val="24"/>
          <w:szCs w:val="20"/>
        </w:rPr>
      </w:pPr>
      <w:r>
        <w:rPr>
          <w:rFonts w:ascii="Times New Roman" w:hAnsi="Times New Roman" w:eastAsia="Arial Narrow" w:cs="Times New Roman"/>
          <w:sz w:val="24"/>
          <w:szCs w:val="20"/>
        </w:rPr>
        <w:t xml:space="preserve">Clark, K. (1994) Nutritional guidance to soccer players for training and competition. </w:t>
      </w:r>
      <w:r>
        <w:rPr>
          <w:rFonts w:ascii="Times New Roman" w:hAnsi="Times New Roman" w:eastAsia="Arial Narrow" w:cs="Times New Roman"/>
          <w:i/>
          <w:sz w:val="24"/>
          <w:szCs w:val="20"/>
        </w:rPr>
        <w:t>Journal of Sports Sciences,</w:t>
      </w:r>
      <w:r>
        <w:rPr>
          <w:rFonts w:ascii="Times New Roman" w:hAnsi="Times New Roman" w:eastAsia="Arial Narrow" w:cs="Times New Roman"/>
          <w:sz w:val="24"/>
          <w:szCs w:val="20"/>
        </w:rPr>
        <w:t xml:space="preserve"> 12, 43-50.</w:t>
      </w:r>
    </w:p>
    <w:p>
      <w:pPr>
        <w:spacing w:after="0" w:line="240" w:lineRule="auto"/>
        <w:ind w:left="560" w:hanging="566"/>
        <w:jc w:val="both"/>
        <w:rPr>
          <w:rFonts w:ascii="Times New Roman" w:hAnsi="Times New Roman" w:eastAsia="Arial Narrow" w:cs="Times New Roman"/>
          <w:sz w:val="24"/>
          <w:szCs w:val="20"/>
        </w:rPr>
      </w:pPr>
    </w:p>
    <w:p>
      <w:pPr>
        <w:spacing w:after="0" w:line="240" w:lineRule="auto"/>
        <w:ind w:left="560" w:hanging="566"/>
        <w:jc w:val="both"/>
        <w:rPr>
          <w:rFonts w:ascii="Times New Roman" w:hAnsi="Times New Roman" w:eastAsia="Arial Narrow" w:cs="Times New Roman"/>
          <w:sz w:val="24"/>
          <w:szCs w:val="20"/>
        </w:rPr>
      </w:pPr>
      <w:r>
        <w:rPr>
          <w:rFonts w:ascii="Times New Roman" w:hAnsi="Times New Roman" w:eastAsia="Arial Narrow" w:cs="Times New Roman"/>
          <w:sz w:val="24"/>
          <w:szCs w:val="20"/>
        </w:rPr>
        <w:t xml:space="preserve">Clark, N. (2014) </w:t>
      </w:r>
      <w:r>
        <w:rPr>
          <w:rFonts w:ascii="Times New Roman" w:hAnsi="Times New Roman" w:eastAsia="Arial Narrow" w:cs="Times New Roman"/>
          <w:i/>
          <w:sz w:val="24"/>
          <w:szCs w:val="20"/>
        </w:rPr>
        <w:t>Sports Nutrition Guideboook.</w:t>
      </w:r>
      <w:r>
        <w:rPr>
          <w:rFonts w:ascii="Times New Roman" w:hAnsi="Times New Roman" w:eastAsia="Arial Narrow" w:cs="Times New Roman"/>
          <w:sz w:val="24"/>
          <w:szCs w:val="20"/>
        </w:rPr>
        <w:t xml:space="preserve"> 5th ed. Champaign, IL: Human Kinetics.</w:t>
      </w:r>
    </w:p>
    <w:p>
      <w:pPr>
        <w:spacing w:after="0" w:line="240" w:lineRule="auto"/>
        <w:ind w:left="560" w:hanging="566"/>
        <w:jc w:val="both"/>
        <w:rPr>
          <w:rFonts w:ascii="Times New Roman" w:hAnsi="Times New Roman" w:eastAsia="Arial Narrow" w:cs="Times New Roman"/>
          <w:sz w:val="24"/>
          <w:szCs w:val="20"/>
        </w:rPr>
      </w:pPr>
    </w:p>
    <w:p>
      <w:pPr>
        <w:spacing w:after="0" w:line="240" w:lineRule="auto"/>
        <w:ind w:left="560" w:hanging="566"/>
        <w:jc w:val="both"/>
        <w:rPr>
          <w:rFonts w:ascii="Times New Roman" w:hAnsi="Times New Roman" w:eastAsia="Arial Narrow" w:cs="Times New Roman"/>
          <w:sz w:val="24"/>
          <w:szCs w:val="20"/>
        </w:rPr>
      </w:pPr>
      <w:r>
        <w:rPr>
          <w:rFonts w:ascii="Times New Roman" w:hAnsi="Times New Roman" w:eastAsia="Arial Narrow" w:cs="Times New Roman"/>
          <w:sz w:val="24"/>
          <w:szCs w:val="20"/>
        </w:rPr>
        <w:t xml:space="preserve">Chryssanthopoulos, C., Williams, C., Nowitz, A. and Bogdanis, G. (2004) Skeletal muscle glycogen concentration and metabolic responses following a high glycaemic index breakfast. </w:t>
      </w:r>
      <w:r>
        <w:rPr>
          <w:rFonts w:ascii="Times New Roman" w:hAnsi="Times New Roman" w:eastAsia="Arial Narrow" w:cs="Times New Roman"/>
          <w:i/>
          <w:sz w:val="24"/>
          <w:szCs w:val="20"/>
        </w:rPr>
        <w:t>Journal of Sports Science,</w:t>
      </w:r>
      <w:r>
        <w:rPr>
          <w:rFonts w:ascii="Times New Roman" w:hAnsi="Times New Roman" w:eastAsia="Arial Narrow" w:cs="Times New Roman"/>
          <w:sz w:val="24"/>
          <w:szCs w:val="20"/>
        </w:rPr>
        <w:t xml:space="preserve"> 22, 1065-1071.</w:t>
      </w:r>
    </w:p>
    <w:p>
      <w:pPr>
        <w:spacing w:after="0" w:line="240" w:lineRule="auto"/>
        <w:ind w:left="560" w:hanging="566"/>
        <w:jc w:val="both"/>
        <w:rPr>
          <w:rFonts w:ascii="Times New Roman" w:hAnsi="Times New Roman" w:eastAsia="Arial Narrow" w:cs="Times New Roman"/>
          <w:sz w:val="24"/>
          <w:szCs w:val="20"/>
        </w:rPr>
      </w:pP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Croll JK, Neumark</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 xml:space="preserve">Sztainer D, Story M, Wall M, Perry C, Harnack L, </w:t>
      </w:r>
      <w:r>
        <w:rPr>
          <w:rFonts w:ascii="Times New Roman" w:hAnsi="Times New Roman" w:eastAsia="Times New Roman" w:cs="Times New Roman"/>
          <w:i/>
          <w:iCs/>
          <w:sz w:val="24"/>
          <w:szCs w:val="24"/>
        </w:rPr>
        <w:t xml:space="preserve">et al. </w:t>
      </w:r>
      <w:r>
        <w:rPr>
          <w:rFonts w:ascii="Times New Roman" w:hAnsi="Times New Roman" w:eastAsia="Times New Roman" w:cs="Times New Roman"/>
          <w:sz w:val="24"/>
          <w:szCs w:val="24"/>
        </w:rPr>
        <w:t>Adolescents involved in weight</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related and power team sports have better eating patterns and nutrient intakes than non</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sport</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involved adolescents. J Am Diet Assoc 2006;106:709</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17.</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DeVries JW, Prosky L, Li B, Cho S (1999) A historic perspective on defining dietary fiber. Cereal Foods World 44:367–369.</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FIFA (2010) Nutrition for Football: A practical guide in eating and drinking for strength and performance. </w:t>
      </w:r>
      <w:r>
        <w:rPr>
          <w:rFonts w:ascii="Times New Roman" w:hAnsi="Times New Roman" w:eastAsia="Times New Roman" w:cs="Times New Roman"/>
          <w:i/>
          <w:sz w:val="24"/>
          <w:szCs w:val="24"/>
        </w:rPr>
        <w:t>Federation</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Internationale de Football Association.</w:t>
      </w: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FIFA (2015) “Big Count.” FIFA. </w:t>
      </w:r>
      <w:r>
        <w:fldChar w:fldCharType="begin"/>
      </w:r>
      <w:r>
        <w:instrText xml:space="preserve"> HYPERLINK "http://www.fifa.com/worldfootball/bigcount/allplayers.html" </w:instrText>
      </w:r>
      <w:r>
        <w:fldChar w:fldCharType="separate"/>
      </w:r>
      <w:r>
        <w:rPr>
          <w:rStyle w:val="3"/>
          <w:rFonts w:ascii="Times New Roman" w:hAnsi="Times New Roman" w:eastAsia="Times New Roman" w:cs="Times New Roman"/>
          <w:color w:val="auto"/>
          <w:sz w:val="24"/>
          <w:szCs w:val="24"/>
        </w:rPr>
        <w:t>http://www.fifa.com/worldfootball/bigcount/allplayers.html</w:t>
      </w:r>
      <w:r>
        <w:rPr>
          <w:rStyle w:val="3"/>
          <w:rFonts w:ascii="Times New Roman" w:hAnsi="Times New Roman" w:eastAsia="Times New Roman" w:cs="Times New Roman"/>
          <w:color w:val="auto"/>
          <w:sz w:val="24"/>
          <w:szCs w:val="24"/>
        </w:rPr>
        <w:fldChar w:fldCharType="end"/>
      </w:r>
      <w:r>
        <w:rPr>
          <w:rFonts w:ascii="Times New Roman" w:hAnsi="Times New Roman" w:eastAsia="Times New Roman" w:cs="Times New Roman"/>
          <w:sz w:val="24"/>
          <w:szCs w:val="24"/>
        </w:rPr>
        <w:t xml:space="preserve">. </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Garcia-Roves, P., Garcia-Zapico, P., Patterson, A. and Iglesias-Gutierrez, E. (2014) Nutrient intake and food habits of soccer players: Analysing the correlates of eating practice. </w:t>
      </w:r>
      <w:r>
        <w:rPr>
          <w:rFonts w:ascii="Times New Roman" w:hAnsi="Times New Roman" w:eastAsia="Times New Roman" w:cs="Times New Roman"/>
          <w:i/>
          <w:sz w:val="24"/>
          <w:szCs w:val="24"/>
        </w:rPr>
        <w:t>Nutrients,</w:t>
      </w:r>
      <w:r>
        <w:rPr>
          <w:rFonts w:ascii="Times New Roman" w:hAnsi="Times New Roman" w:eastAsia="Times New Roman" w:cs="Times New Roman"/>
          <w:sz w:val="24"/>
          <w:szCs w:val="24"/>
        </w:rPr>
        <w:t xml:space="preserve"> 6, 2697-2717.</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Geissler C, Powers H. Diet for sport and exercise. In: Fundamentals of Human Nutrition. 1st ed. Ch. 7. Elsevier; 2009.</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Goedecke, J.H., White, N.J., Chicktay, W., Mahomed, H., Durandt, J. and Lambert, M.I. (2013) The Effect of Carbohydrate Ingestion on Performance during a Simulated Soccer Match. </w:t>
      </w:r>
      <w:r>
        <w:rPr>
          <w:rFonts w:ascii="Times New Roman" w:hAnsi="Times New Roman" w:eastAsia="Times New Roman" w:cs="Times New Roman"/>
          <w:i/>
          <w:sz w:val="24"/>
          <w:szCs w:val="24"/>
        </w:rPr>
        <w:t>Nutrients,</w:t>
      </w:r>
      <w:r>
        <w:rPr>
          <w:rFonts w:ascii="Times New Roman" w:hAnsi="Times New Roman" w:eastAsia="Times New Roman" w:cs="Times New Roman"/>
          <w:sz w:val="24"/>
          <w:szCs w:val="24"/>
        </w:rPr>
        <w:t xml:space="preserve"> 5(12), 5193-5204.</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Hammami, A., Chamari, K., Slimani, M., Shephard, R.J., Yousfi, N., Tabka, Z. and Bouhlel, E. (2016) Effects of recreational soccer on physical fitness and health indices in sedentary healthy and unhealthy subjects. </w:t>
      </w:r>
      <w:r>
        <w:rPr>
          <w:rFonts w:ascii="Times New Roman" w:hAnsi="Times New Roman" w:eastAsia="Times New Roman" w:cs="Times New Roman"/>
          <w:i/>
          <w:sz w:val="24"/>
          <w:szCs w:val="24"/>
        </w:rPr>
        <w:t>Biology of Sport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33,</w:t>
      </w:r>
      <w:r>
        <w:rPr>
          <w:rFonts w:ascii="Times New Roman" w:hAnsi="Times New Roman" w:eastAsia="Times New Roman" w:cs="Times New Roman"/>
          <w:sz w:val="24"/>
          <w:szCs w:val="24"/>
        </w:rPr>
        <w:t xml:space="preserve"> 127-137.</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Hassapidou, M. (2001) Dietary assessment of five male sports teams in Greece. </w:t>
      </w:r>
      <w:r>
        <w:rPr>
          <w:rFonts w:ascii="Times New Roman" w:hAnsi="Times New Roman" w:eastAsia="Times New Roman" w:cs="Times New Roman"/>
          <w:i/>
          <w:sz w:val="24"/>
          <w:szCs w:val="24"/>
        </w:rPr>
        <w:t>Nutrition &amp; Food Science,</w:t>
      </w:r>
      <w:r>
        <w:rPr>
          <w:rFonts w:ascii="Times New Roman" w:hAnsi="Times New Roman" w:eastAsia="Times New Roman" w:cs="Times New Roman"/>
          <w:sz w:val="24"/>
          <w:szCs w:val="24"/>
        </w:rPr>
        <w:t xml:space="preserve"> 31-35.</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Hernandez A. J. and Nahas R. M. (2009) Modificac¸o˜es diete´ticas, reposic¸a˜o hı´drica, suplementos alimentares e drogas: compro-vac¸a˜o de ac¸a˜o ergogeˆnica e potenciais riscos para a sau´de. Brazilian Journal of Sports Medicine 15(3): 1–12.</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Jacobs, I., Westlin, N., Karlsson, J., Rasmusson, M., and Houghton, B. (1982) Muscle glycogen and diet in elite soccer players. </w:t>
      </w:r>
      <w:r>
        <w:rPr>
          <w:rFonts w:ascii="Times New Roman" w:hAnsi="Times New Roman" w:eastAsia="Times New Roman" w:cs="Times New Roman"/>
          <w:i/>
          <w:sz w:val="24"/>
          <w:szCs w:val="24"/>
        </w:rPr>
        <w:t>European Journal of Applied Physiology,</w:t>
      </w:r>
      <w:r>
        <w:rPr>
          <w:rFonts w:ascii="Times New Roman" w:hAnsi="Times New Roman" w:eastAsia="Times New Roman" w:cs="Times New Roman"/>
          <w:sz w:val="24"/>
          <w:szCs w:val="24"/>
        </w:rPr>
        <w:t xml:space="preserve"> 48(3), 297-302.</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Jones JM, Engleson J (2010) Whole grains: benefits and challenges. Annu Rev Food Sci Technol 1:19–40</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Korkmaz, N. (2004) Nutritional Profile of the Turkish National Football Team before World Cup Matches. </w:t>
      </w:r>
      <w:r>
        <w:rPr>
          <w:rFonts w:ascii="Times New Roman" w:hAnsi="Times New Roman" w:eastAsia="Times New Roman" w:cs="Times New Roman"/>
          <w:i/>
          <w:sz w:val="24"/>
          <w:szCs w:val="24"/>
        </w:rPr>
        <w:t>Journal of</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Applied Sports Sciences, </w:t>
      </w:r>
      <w:r>
        <w:rPr>
          <w:rFonts w:ascii="Times New Roman" w:hAnsi="Times New Roman" w:eastAsia="Times New Roman" w:cs="Times New Roman"/>
          <w:sz w:val="24"/>
          <w:szCs w:val="24"/>
        </w:rPr>
        <w:t>16(2), 31-38.</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Kreider, R.B., Wilbown, C.D., Taylor, L., Campbell, B. Almada, A.L., Collins, R., Cooke, M., Earnest, C.P., Greenwood, M., Kalman, D.S., Kerksick, C.M., Kleiner, S.mM., Leutholtz, B., Lopez, H., Lowery, L.M., Mendel, R., Smith, A., Spano, M., Wildman, R., Willoughby, D.S., Ziegenfuss, T.N., Antonio, J. (2010) ISSN exercise and sport nutrition review: research and recommendations. </w:t>
      </w:r>
      <w:r>
        <w:rPr>
          <w:rFonts w:ascii="Times New Roman" w:hAnsi="Times New Roman" w:eastAsia="Times New Roman" w:cs="Times New Roman"/>
          <w:i/>
          <w:sz w:val="24"/>
          <w:szCs w:val="24"/>
        </w:rPr>
        <w:t>Journal of the International Society of Sports Nutrition,</w:t>
      </w:r>
      <w:r>
        <w:rPr>
          <w:rFonts w:ascii="Times New Roman" w:hAnsi="Times New Roman" w:eastAsia="Times New Roman" w:cs="Times New Roman"/>
          <w:sz w:val="24"/>
          <w:szCs w:val="24"/>
        </w:rPr>
        <w:t xml:space="preserve"> 7(7).</w:t>
      </w:r>
    </w:p>
    <w:p>
      <w:pPr>
        <w:tabs>
          <w:tab w:val="left" w:pos="520"/>
        </w:tabs>
        <w:spacing w:line="240" w:lineRule="auto"/>
        <w:ind w:left="540" w:hanging="56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Krustrup, P.; Mohr, M.; Steensberg, A.; Bencke, J.; Kjaer, M.; Bangsbo, J. Muscle and blood metabolites during a soccer game: Implications for sprint performance. Med. Sci. Sports Exerc. </w:t>
      </w:r>
      <w:r>
        <w:rPr>
          <w:rFonts w:ascii="Times New Roman" w:hAnsi="Times New Roman" w:eastAsia="Times New Roman" w:cs="Times New Roman"/>
          <w:b/>
          <w:sz w:val="24"/>
          <w:szCs w:val="24"/>
        </w:rPr>
        <w:t>2006</w:t>
      </w:r>
      <w:r>
        <w:rPr>
          <w:rFonts w:ascii="Times New Roman" w:hAnsi="Times New Roman" w:eastAsia="Times New Roman" w:cs="Times New Roman"/>
          <w:sz w:val="24"/>
          <w:szCs w:val="24"/>
        </w:rPr>
        <w:t>, 38, 1165–1174. [</w:t>
      </w:r>
      <w:r>
        <w:fldChar w:fldCharType="begin"/>
      </w:r>
      <w:r>
        <w:instrText xml:space="preserve"> HYPERLINK "http://dx.doi.org/10.1249/01.mss.0000222845.89262.cd" </w:instrText>
      </w:r>
      <w:r>
        <w:fldChar w:fldCharType="separate"/>
      </w:r>
      <w:r>
        <w:rPr>
          <w:rStyle w:val="3"/>
          <w:rFonts w:ascii="Times New Roman" w:hAnsi="Times New Roman" w:eastAsia="Times New Roman" w:cs="Times New Roman"/>
          <w:color w:val="auto"/>
          <w:sz w:val="24"/>
          <w:szCs w:val="24"/>
        </w:rPr>
        <w:t>CrossRef</w:t>
      </w:r>
      <w:r>
        <w:rPr>
          <w:rStyle w:val="3"/>
          <w:rFonts w:ascii="Times New Roman" w:hAnsi="Times New Roman" w:eastAsia="Times New Roman" w:cs="Times New Roman"/>
          <w:color w:val="auto"/>
          <w:sz w:val="24"/>
          <w:szCs w:val="24"/>
        </w:rPr>
        <w:fldChar w:fldCharType="end"/>
      </w:r>
      <w:r>
        <w:rPr>
          <w:rFonts w:ascii="Times New Roman" w:hAnsi="Times New Roman" w:eastAsia="Times New Roman" w:cs="Times New Roman"/>
          <w:sz w:val="24"/>
          <w:szCs w:val="24"/>
        </w:rPr>
        <w:t>] [</w:t>
      </w:r>
      <w:r>
        <w:fldChar w:fldCharType="begin"/>
      </w:r>
      <w:r>
        <w:instrText xml:space="preserve"> HYPERLINK "http://www.ncbi.nlm.nih.gov/pubmed/16775559" </w:instrText>
      </w:r>
      <w:r>
        <w:fldChar w:fldCharType="separate"/>
      </w:r>
      <w:r>
        <w:rPr>
          <w:rStyle w:val="3"/>
          <w:rFonts w:ascii="Times New Roman" w:hAnsi="Times New Roman" w:eastAsia="Times New Roman" w:cs="Times New Roman"/>
          <w:color w:val="auto"/>
          <w:sz w:val="24"/>
          <w:szCs w:val="24"/>
        </w:rPr>
        <w:t>PubMed</w:t>
      </w:r>
      <w:r>
        <w:rPr>
          <w:rStyle w:val="3"/>
          <w:rFonts w:ascii="Times New Roman" w:hAnsi="Times New Roman" w:eastAsia="Times New Roman" w:cs="Times New Roman"/>
          <w:color w:val="auto"/>
          <w:sz w:val="24"/>
          <w:szCs w:val="24"/>
        </w:rPr>
        <w:fldChar w:fldCharType="end"/>
      </w:r>
      <w:r>
        <w:rPr>
          <w:rFonts w:ascii="Times New Roman" w:hAnsi="Times New Roman" w:eastAsia="Times New Roman" w:cs="Times New Roman"/>
          <w:sz w:val="24"/>
          <w:szCs w:val="24"/>
        </w:rPr>
        <w:t>]</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Krustrup, P., Dvorak, J., Junge, A. and Bangsbo, J. (2010) Executive summary: The health and fitness benefits of regular participa-tion in small-sided football games. </w:t>
      </w:r>
      <w:r>
        <w:rPr>
          <w:rFonts w:ascii="Times New Roman" w:hAnsi="Times New Roman" w:eastAsia="Times New Roman" w:cs="Times New Roman"/>
          <w:i/>
          <w:sz w:val="24"/>
          <w:szCs w:val="24"/>
        </w:rPr>
        <w:t>Scandinavian Journal of</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Medicine and Science in Sports </w:t>
      </w:r>
      <w:r>
        <w:rPr>
          <w:rFonts w:ascii="Times New Roman" w:hAnsi="Times New Roman" w:eastAsia="Times New Roman" w:cs="Times New Roman"/>
          <w:b/>
          <w:sz w:val="24"/>
          <w:szCs w:val="24"/>
        </w:rPr>
        <w:t>20,</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132-135.</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Lairon, D., Arnault, N., Bertrais, S., Planells, R., Clero, E., Hercberg, 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2005. Dietary fiber intake and risk factors for cardiovascular disease in French adults. </w:t>
      </w:r>
      <w:r>
        <w:rPr>
          <w:rFonts w:ascii="Times New Roman" w:hAnsi="Times New Roman" w:eastAsia="Times New Roman" w:cs="Times New Roman"/>
          <w:i/>
          <w:sz w:val="24"/>
          <w:szCs w:val="24"/>
        </w:rPr>
        <w:t>Am. J. Clin.</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Nutr.</w:t>
      </w:r>
      <w:r>
        <w:rPr>
          <w:rFonts w:ascii="Times New Roman" w:hAnsi="Times New Roman" w:eastAsia="Times New Roman" w:cs="Times New Roman"/>
          <w:sz w:val="24"/>
          <w:szCs w:val="24"/>
        </w:rPr>
        <w:t>,</w:t>
      </w:r>
      <w:r>
        <w:rPr>
          <w:rFonts w:ascii="Times New Roman" w:hAnsi="Times New Roman" w:eastAsia="Times New Roman" w:cs="Times New Roman"/>
          <w:i/>
          <w:sz w:val="24"/>
          <w:szCs w:val="24"/>
        </w:rPr>
        <w:t xml:space="preserve"> 82</w:t>
      </w:r>
      <w:r>
        <w:rPr>
          <w:rFonts w:ascii="Times New Roman" w:hAnsi="Times New Roman" w:eastAsia="Times New Roman" w:cs="Times New Roman"/>
          <w:sz w:val="24"/>
          <w:szCs w:val="24"/>
        </w:rPr>
        <w:t>(6), 1185–1194.</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Leatt, P. and Jacobs, I. (1989) Effect of glucose polymer ingestion on glycogen depletion during a soccer match. </w:t>
      </w:r>
      <w:r>
        <w:rPr>
          <w:rFonts w:ascii="Times New Roman" w:hAnsi="Times New Roman" w:eastAsia="Times New Roman" w:cs="Times New Roman"/>
          <w:i/>
          <w:sz w:val="24"/>
          <w:szCs w:val="24"/>
        </w:rPr>
        <w:t xml:space="preserve">Canadian Journal of Sports Science, </w:t>
      </w:r>
      <w:r>
        <w:rPr>
          <w:rFonts w:ascii="Times New Roman" w:hAnsi="Times New Roman" w:eastAsia="Times New Roman" w:cs="Times New Roman"/>
          <w:sz w:val="24"/>
          <w:szCs w:val="24"/>
        </w:rPr>
        <w:t>14, 112-116.</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 Blanc, J., Le Gall, F. and Grandjean, V.V.P. (2002) Nutritional intake of French soccer players at the Clairefontaine Training Center. </w:t>
      </w:r>
      <w:r>
        <w:rPr>
          <w:rFonts w:ascii="Times New Roman" w:hAnsi="Times New Roman" w:eastAsia="Times New Roman" w:cs="Times New Roman"/>
          <w:i/>
          <w:sz w:val="24"/>
          <w:szCs w:val="24"/>
        </w:rPr>
        <w:t>International Journal of Sport Nutrition and Exercise Metabolism,</w:t>
      </w:r>
      <w:r>
        <w:rPr>
          <w:rFonts w:ascii="Times New Roman" w:hAnsi="Times New Roman" w:eastAsia="Times New Roman" w:cs="Times New Roman"/>
          <w:sz w:val="24"/>
          <w:szCs w:val="24"/>
        </w:rPr>
        <w:t xml:space="preserve"> 12, 268-280.</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Lemon, P. (1994) Protein requirements for soccer. </w:t>
      </w:r>
      <w:r>
        <w:rPr>
          <w:rFonts w:ascii="Times New Roman" w:hAnsi="Times New Roman" w:eastAsia="Times New Roman" w:cs="Times New Roman"/>
          <w:i/>
          <w:sz w:val="24"/>
          <w:szCs w:val="24"/>
        </w:rPr>
        <w:t>Journal of Sports Sciences,</w:t>
      </w:r>
      <w:r>
        <w:rPr>
          <w:rFonts w:ascii="Times New Roman" w:hAnsi="Times New Roman" w:eastAsia="Times New Roman" w:cs="Times New Roman"/>
          <w:sz w:val="24"/>
          <w:szCs w:val="24"/>
        </w:rPr>
        <w:t xml:space="preserve"> 12, pp. 17-22.</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Little, J.P., Chilibeck, P.D., Ciona, D., Forbes, S., Rees, H., Vanderberg, A. and Zello, G.A. (2010) Effect of low- and high-glycaemic index meals on metabolism and performance during high intermittent exercise. </w:t>
      </w:r>
      <w:r>
        <w:rPr>
          <w:rFonts w:ascii="Times New Roman" w:hAnsi="Times New Roman" w:eastAsia="Times New Roman" w:cs="Times New Roman"/>
          <w:i/>
          <w:sz w:val="24"/>
          <w:szCs w:val="24"/>
        </w:rPr>
        <w:t>International</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Journal of Sports Nutrition and Exercise Metabolism, </w:t>
      </w:r>
      <w:r>
        <w:rPr>
          <w:rFonts w:ascii="Times New Roman" w:hAnsi="Times New Roman" w:eastAsia="Times New Roman" w:cs="Times New Roman"/>
          <w:sz w:val="24"/>
          <w:szCs w:val="24"/>
        </w:rPr>
        <w:t>20(6), 447-456.</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Lopez HW, Levrat MA, Guy C, Messanger A, Demigne C, Remesy C (1999) Effects of soluble corn bran arabinoxylans on cecal digestion, lipid metabolism, and mineral balance (Ca, Mg) in rats. J Nutr Biochem 10:500–509</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Marlett JA (1990) Analysis of dietary fiber in human foods. In: Kritchevsky D, Bonfield C, Anderson JW (eds) Dietary fibre: Chemistry, physiology and health effects. Plenum, New York, pp 31–48</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Maughan RJ, Shirreffs SM. Nutrition for soccer players. Curr Sports Med Rep 2007;6:279</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80</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MacLaren, D. (1996) Nutrition. In: </w:t>
      </w:r>
      <w:r>
        <w:rPr>
          <w:rFonts w:ascii="Times New Roman" w:hAnsi="Times New Roman" w:eastAsia="Times New Roman" w:cs="Times New Roman"/>
          <w:i/>
          <w:sz w:val="24"/>
          <w:szCs w:val="24"/>
        </w:rPr>
        <w:t>Nutrition and Soccer.</w:t>
      </w:r>
      <w:r>
        <w:rPr>
          <w:rFonts w:ascii="Times New Roman" w:hAnsi="Times New Roman" w:eastAsia="Times New Roman" w:cs="Times New Roman"/>
          <w:sz w:val="24"/>
          <w:szCs w:val="24"/>
        </w:rPr>
        <w:t xml:space="preserve"> London: E &amp; FN Spon.</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MacLaren, D. (2003) Nutrition. In: </w:t>
      </w:r>
      <w:r>
        <w:rPr>
          <w:rFonts w:ascii="Times New Roman" w:hAnsi="Times New Roman" w:eastAsia="Times New Roman" w:cs="Times New Roman"/>
          <w:i/>
          <w:sz w:val="24"/>
          <w:szCs w:val="24"/>
        </w:rPr>
        <w:t>Science and Soccer.</w:t>
      </w:r>
      <w:r>
        <w:rPr>
          <w:rFonts w:ascii="Times New Roman" w:hAnsi="Times New Roman" w:eastAsia="Times New Roman" w:cs="Times New Roman"/>
          <w:sz w:val="24"/>
          <w:szCs w:val="24"/>
        </w:rPr>
        <w:t xml:space="preserve"> London: Routledge</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McArdle WD, Katch FI, Katch VL. Sports &amp; Exercise Nutrition. Philadelphia: Lippincott Williams &amp; Wilkins; 1999.</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Milanović, Z., Pantelić, S., Čović, N., Sporiš, G. and Krustrup, P. (2015) Is Recreational Soccer Effective for Improving VO2 max? A Systematic Review and Meta-Analysis. </w:t>
      </w:r>
      <w:r>
        <w:rPr>
          <w:rFonts w:ascii="Times New Roman" w:hAnsi="Times New Roman" w:eastAsia="Times New Roman" w:cs="Times New Roman"/>
          <w:i/>
          <w:sz w:val="24"/>
          <w:szCs w:val="24"/>
        </w:rPr>
        <w:t>Sports Medicine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45,</w:t>
      </w:r>
      <w:r>
        <w:rPr>
          <w:rFonts w:ascii="Times New Roman" w:hAnsi="Times New Roman" w:eastAsia="Times New Roman" w:cs="Times New Roman"/>
          <w:sz w:val="24"/>
          <w:szCs w:val="24"/>
        </w:rPr>
        <w:t xml:space="preserve"> 1339-1353.</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Montonen, J., Knekt, P., Jarvinen, R., Aromaa, A., &amp; Reunanen, A. 2003. Whole-grain and fiber intake and the incidence of type 2 diabetes. </w:t>
      </w:r>
      <w:r>
        <w:rPr>
          <w:rFonts w:ascii="Times New Roman" w:hAnsi="Times New Roman" w:eastAsia="Times New Roman" w:cs="Times New Roman"/>
          <w:i/>
          <w:sz w:val="24"/>
          <w:szCs w:val="24"/>
        </w:rPr>
        <w:t>Am. J. Clin. Nutr.</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77</w:t>
      </w:r>
      <w:r>
        <w:rPr>
          <w:rFonts w:ascii="Times New Roman" w:hAnsi="Times New Roman" w:eastAsia="Times New Roman" w:cs="Times New Roman"/>
          <w:sz w:val="24"/>
          <w:szCs w:val="24"/>
        </w:rPr>
        <w:t>(3), 622–629.</w:t>
      </w:r>
    </w:p>
    <w:p>
      <w:pPr>
        <w:spacing w:line="240" w:lineRule="auto"/>
        <w:ind w:left="540" w:right="80" w:hanging="539"/>
        <w:jc w:val="both"/>
        <w:rPr>
          <w:rFonts w:ascii="Times New Roman" w:hAnsi="Times New Roman" w:eastAsia="Times New Roman" w:cs="Times New Roman"/>
          <w:sz w:val="24"/>
          <w:szCs w:val="24"/>
        </w:rPr>
      </w:pPr>
      <w:bookmarkStart w:id="30" w:name="_Hlk512010840"/>
      <w:r>
        <w:rPr>
          <w:rFonts w:ascii="Times New Roman" w:hAnsi="Times New Roman" w:eastAsia="Times New Roman" w:cs="Times New Roman"/>
          <w:sz w:val="24"/>
          <w:szCs w:val="24"/>
        </w:rPr>
        <w:t xml:space="preserve">Naughton, R. J., Drust, B., O’Boyle, A., Morgans, R., Abayomi, J., Davies, I. G.,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2016. </w:t>
      </w:r>
      <w:bookmarkEnd w:id="30"/>
      <w:r>
        <w:rPr>
          <w:rFonts w:ascii="Times New Roman" w:hAnsi="Times New Roman" w:eastAsia="Times New Roman" w:cs="Times New Roman"/>
          <w:sz w:val="24"/>
          <w:szCs w:val="24"/>
        </w:rPr>
        <w:t xml:space="preserve">Daily Distribution of Carbohydrate, Protein and Fat Intake in Elite Youth Academy Soccer Players Over a 7-Day Training Period. </w:t>
      </w:r>
      <w:r>
        <w:rPr>
          <w:rFonts w:ascii="Times New Roman" w:hAnsi="Times New Roman" w:eastAsia="Times New Roman" w:cs="Times New Roman"/>
          <w:i/>
          <w:sz w:val="24"/>
          <w:szCs w:val="24"/>
        </w:rPr>
        <w:t>Int. J. Sport Nutr. Exerc. Metab.</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26</w:t>
      </w:r>
      <w:r>
        <w:rPr>
          <w:rFonts w:ascii="Times New Roman" w:hAnsi="Times New Roman" w:eastAsia="Times New Roman" w:cs="Times New Roman"/>
          <w:sz w:val="24"/>
          <w:szCs w:val="24"/>
        </w:rPr>
        <w:t>(5), 473–480. doi:10.1123/ijsnem.2015-0340.</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Naughton, R. J., Drust, B., O’Boyle, A., Morgans, R., Abayomi, J., Davies, I. G., </w:t>
      </w:r>
      <w:r>
        <w:rPr>
          <w:rFonts w:ascii="Times New Roman" w:hAnsi="Times New Roman" w:eastAsia="Times New Roman" w:cs="Times New Roman"/>
          <w:bCs/>
          <w:i/>
          <w:sz w:val="24"/>
          <w:szCs w:val="24"/>
        </w:rPr>
        <w:t>et al.</w:t>
      </w:r>
      <w:r>
        <w:rPr>
          <w:rFonts w:ascii="Times New Roman" w:hAnsi="Times New Roman" w:eastAsia="Times New Roman" w:cs="Times New Roman"/>
          <w:bCs/>
          <w:sz w:val="24"/>
          <w:szCs w:val="24"/>
        </w:rPr>
        <w:t xml:space="preserve"> 2017. Free-sugar, total-sugar, fibre and micronutrient intake within elite youth British soccer players: a nutritional transition from schoolboy to fulltime soccer player</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Reference:</w:t>
      </w:r>
      <w:r>
        <w:rPr>
          <w:rFonts w:ascii="Times New Roman" w:hAnsi="Times New Roman" w:eastAsia="Times New Roman" w:cs="Times New Roman"/>
          <w:sz w:val="24"/>
          <w:szCs w:val="24"/>
        </w:rPr>
        <w:t> Appl Physiol Nutr Metab. 2017 Jan 10. doi: 10.1139/apnm-2016-0459.</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Nicholas, C., Williams, C., Boobis, L. and Little, N. (1995a) Effect of ingesting a carbohydrate-electrolyte beverage on muscle glycogen utilisation during high intensity, intermittent shuttle running. </w:t>
      </w:r>
      <w:r>
        <w:rPr>
          <w:rFonts w:ascii="Times New Roman" w:hAnsi="Times New Roman" w:eastAsia="Times New Roman" w:cs="Times New Roman"/>
          <w:i/>
          <w:sz w:val="24"/>
          <w:szCs w:val="24"/>
        </w:rPr>
        <w:t>Clinical Science,</w:t>
      </w:r>
      <w:r>
        <w:rPr>
          <w:rFonts w:ascii="Times New Roman" w:hAnsi="Times New Roman" w:eastAsia="Times New Roman" w:cs="Times New Roman"/>
          <w:sz w:val="24"/>
          <w:szCs w:val="24"/>
        </w:rPr>
        <w:t xml:space="preserve"> 87, 26-27.</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Nicholas, C., Tsintzas, K., Boobis, L. and Williams, C. (1999) Carbohydrate-electrolyte ingestion during intermittent high-intensity running. </w:t>
      </w:r>
      <w:r>
        <w:rPr>
          <w:rFonts w:ascii="Times New Roman" w:hAnsi="Times New Roman" w:eastAsia="Times New Roman" w:cs="Times New Roman"/>
          <w:i/>
          <w:sz w:val="24"/>
          <w:szCs w:val="24"/>
        </w:rPr>
        <w:t>Medicine and Science in Sports and Exercise,</w:t>
      </w:r>
      <w:r>
        <w:rPr>
          <w:rFonts w:ascii="Times New Roman" w:hAnsi="Times New Roman" w:eastAsia="Times New Roman" w:cs="Times New Roman"/>
          <w:sz w:val="24"/>
          <w:szCs w:val="24"/>
        </w:rPr>
        <w:t xml:space="preserve"> 31, 1280-1286.</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Onyango C, Noetzold H, Bley T, Henle T (2004) Proximate composition and digestibility of fermented and extruded uji from maize-finger millet blend. LWT Food Sci Technol 37:827–832</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Ono, M., Kennedy, E., Reeves, S. and Cronin, L. (2012) Nutrition and Culture in professional football. A mixed method approach. </w:t>
      </w:r>
      <w:r>
        <w:rPr>
          <w:rFonts w:ascii="Times New Roman" w:hAnsi="Times New Roman" w:eastAsia="Times New Roman" w:cs="Times New Roman"/>
          <w:i/>
          <w:sz w:val="24"/>
          <w:szCs w:val="24"/>
        </w:rPr>
        <w:t>Appetite,</w:t>
      </w:r>
      <w:r>
        <w:rPr>
          <w:rFonts w:ascii="Times New Roman" w:hAnsi="Times New Roman" w:eastAsia="Times New Roman" w:cs="Times New Roman"/>
          <w:sz w:val="24"/>
          <w:szCs w:val="24"/>
        </w:rPr>
        <w:t xml:space="preserve"> 58, 98-104.</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Parnell, D., Cope, E., Bailey, R., Krustrup, P. and Curran, K. (2016) Football and physical health: what do we know? </w:t>
      </w:r>
      <w:r>
        <w:rPr>
          <w:rFonts w:ascii="Times New Roman" w:hAnsi="Times New Roman" w:eastAsia="Times New Roman" w:cs="Times New Roman"/>
          <w:i/>
          <w:sz w:val="24"/>
          <w:szCs w:val="24"/>
        </w:rPr>
        <w:t xml:space="preserve">Sport in Socie-ty </w:t>
      </w:r>
      <w:r>
        <w:rPr>
          <w:rFonts w:ascii="Times New Roman" w:hAnsi="Times New Roman" w:eastAsia="Times New Roman" w:cs="Times New Roman"/>
          <w:b/>
          <w:sz w:val="24"/>
          <w:szCs w:val="24"/>
        </w:rPr>
        <w:t>6,</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1-21.</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Pituch-Zdanowska, A., Banaszkiewicz, A., &amp; Albrecht, P. 2015. The role of dietary fibre in inflammatory bowel disease. </w:t>
      </w:r>
      <w:r>
        <w:rPr>
          <w:rFonts w:ascii="Times New Roman" w:hAnsi="Times New Roman" w:eastAsia="Times New Roman" w:cs="Times New Roman"/>
          <w:i/>
          <w:sz w:val="24"/>
          <w:szCs w:val="24"/>
        </w:rPr>
        <w:t>Prz. Gastroenterol.</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10</w:t>
      </w:r>
      <w:r>
        <w:rPr>
          <w:rFonts w:ascii="Times New Roman" w:hAnsi="Times New Roman" w:eastAsia="Times New Roman" w:cs="Times New Roman"/>
          <w:sz w:val="24"/>
          <w:szCs w:val="24"/>
        </w:rPr>
        <w:t>(3), 135–141. doi:10.5114/pg.2015.52753</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Purcell LK; Canadian Pediatric Society, Paediatric Sports and Exercise Medicine Section. Sport nutrition for young athletes. Paediatr Child Health 2013;18:200-2.</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Rampinini, E., Coutts, A., Castagna, C., Sassi, R. and Impellizeri, F.M. (2007.) Variation in top level soccer match performance. </w:t>
      </w:r>
      <w:r>
        <w:rPr>
          <w:rFonts w:ascii="Times New Roman" w:hAnsi="Times New Roman" w:eastAsia="Times New Roman" w:cs="Times New Roman"/>
          <w:i/>
          <w:sz w:val="24"/>
          <w:szCs w:val="24"/>
        </w:rPr>
        <w:t>International Journal of Sports Medicine,</w:t>
      </w:r>
      <w:r>
        <w:rPr>
          <w:rFonts w:ascii="Times New Roman" w:hAnsi="Times New Roman" w:eastAsia="Times New Roman" w:cs="Times New Roman"/>
          <w:sz w:val="24"/>
          <w:szCs w:val="24"/>
        </w:rPr>
        <w:t xml:space="preserve"> 28(12), 1018-1024.</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Rico-Sanz, J., Frontera, W.R., Mole, P.A., Rivera, M.A., Rivera-Brown, A. and Meredith, C.N. (1998) Dietary and performance assessment of elite soccer players during a period of intense training. </w:t>
      </w:r>
      <w:r>
        <w:rPr>
          <w:rFonts w:ascii="Times New Roman" w:hAnsi="Times New Roman" w:eastAsia="Times New Roman" w:cs="Times New Roman"/>
          <w:i/>
          <w:sz w:val="24"/>
          <w:szCs w:val="24"/>
        </w:rPr>
        <w:t>International Journal of Sports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Nutrition, </w:t>
      </w:r>
      <w:r>
        <w:rPr>
          <w:rFonts w:ascii="Times New Roman" w:hAnsi="Times New Roman" w:eastAsia="Times New Roman" w:cs="Times New Roman"/>
          <w:sz w:val="24"/>
          <w:szCs w:val="24"/>
        </w:rPr>
        <w:t>8(8), 230-241.</w:t>
      </w:r>
    </w:p>
    <w:p>
      <w:pPr>
        <w:tabs>
          <w:tab w:val="left" w:pos="660"/>
          <w:tab w:val="left" w:pos="960"/>
          <w:tab w:val="left" w:pos="1440"/>
          <w:tab w:val="left" w:pos="2340"/>
          <w:tab w:val="left" w:pos="2680"/>
          <w:tab w:val="left" w:pos="3380"/>
          <w:tab w:val="left" w:pos="4400"/>
          <w:tab w:val="left" w:pos="4940"/>
          <w:tab w:val="left" w:pos="5680"/>
          <w:tab w:val="left" w:pos="6860"/>
          <w:tab w:val="left" w:pos="7160"/>
          <w:tab w:val="left" w:pos="8360"/>
          <w:tab w:val="left" w:pos="9480"/>
        </w:tabs>
        <w:spacing w:after="0" w:line="240" w:lineRule="auto"/>
        <w:jc w:val="both"/>
        <w:rPr>
          <w:rFonts w:ascii="Times New Roman" w:hAnsi="Times New Roman" w:eastAsia="Arial Narrow" w:cs="Times New Roman"/>
          <w:sz w:val="24"/>
          <w:szCs w:val="20"/>
        </w:rPr>
      </w:pPr>
      <w:r>
        <w:rPr>
          <w:rFonts w:ascii="Times New Roman" w:hAnsi="Times New Roman" w:eastAsia="Arial Narrow" w:cs="Times New Roman"/>
          <w:sz w:val="24"/>
          <w:szCs w:val="20"/>
        </w:rPr>
        <w:t>Reilly,</w:t>
      </w:r>
      <w:r>
        <w:rPr>
          <w:rFonts w:ascii="Times New Roman" w:hAnsi="Times New Roman" w:eastAsia="Arial Narrow" w:cs="Times New Roman"/>
          <w:sz w:val="24"/>
          <w:szCs w:val="20"/>
        </w:rPr>
        <w:tab/>
      </w:r>
      <w:r>
        <w:rPr>
          <w:rFonts w:ascii="Times New Roman" w:hAnsi="Times New Roman" w:eastAsia="Arial Narrow" w:cs="Times New Roman"/>
          <w:sz w:val="24"/>
          <w:szCs w:val="20"/>
        </w:rPr>
        <w:t>T.</w:t>
      </w:r>
      <w:r>
        <w:rPr>
          <w:rFonts w:ascii="Times New Roman" w:hAnsi="Times New Roman" w:eastAsia="Arial Narrow" w:cs="Times New Roman"/>
          <w:sz w:val="24"/>
          <w:szCs w:val="20"/>
        </w:rPr>
        <w:tab/>
      </w:r>
      <w:r>
        <w:rPr>
          <w:rFonts w:ascii="Times New Roman" w:hAnsi="Times New Roman" w:eastAsia="Arial Narrow" w:cs="Times New Roman"/>
          <w:sz w:val="24"/>
          <w:szCs w:val="20"/>
        </w:rPr>
        <w:t>and</w:t>
      </w:r>
      <w:r>
        <w:rPr>
          <w:rFonts w:ascii="Times New Roman" w:hAnsi="Times New Roman" w:eastAsia="Arial Narrow" w:cs="Times New Roman"/>
          <w:sz w:val="24"/>
          <w:szCs w:val="20"/>
        </w:rPr>
        <w:tab/>
      </w:r>
      <w:r>
        <w:rPr>
          <w:rFonts w:ascii="Times New Roman" w:hAnsi="Times New Roman" w:eastAsia="Arial Narrow" w:cs="Times New Roman"/>
          <w:sz w:val="24"/>
          <w:szCs w:val="20"/>
        </w:rPr>
        <w:t>Thomas,</w:t>
      </w:r>
      <w:r>
        <w:rPr>
          <w:rFonts w:ascii="Times New Roman" w:hAnsi="Times New Roman" w:eastAsia="Arial Narrow" w:cs="Times New Roman"/>
          <w:sz w:val="24"/>
          <w:szCs w:val="20"/>
        </w:rPr>
        <w:tab/>
      </w:r>
      <w:r>
        <w:rPr>
          <w:rFonts w:ascii="Times New Roman" w:hAnsi="Times New Roman" w:eastAsia="Arial Narrow" w:cs="Times New Roman"/>
          <w:sz w:val="24"/>
          <w:szCs w:val="20"/>
        </w:rPr>
        <w:t>V.</w:t>
      </w:r>
      <w:r>
        <w:rPr>
          <w:rFonts w:ascii="Times New Roman" w:hAnsi="Times New Roman" w:eastAsia="Arial Narrow" w:cs="Times New Roman"/>
          <w:sz w:val="24"/>
          <w:szCs w:val="20"/>
        </w:rPr>
        <w:tab/>
      </w:r>
      <w:r>
        <w:rPr>
          <w:rFonts w:ascii="Times New Roman" w:hAnsi="Times New Roman" w:eastAsia="Arial Narrow" w:cs="Times New Roman"/>
          <w:sz w:val="24"/>
          <w:szCs w:val="20"/>
        </w:rPr>
        <w:t>(1979)</w:t>
      </w:r>
      <w:r>
        <w:rPr>
          <w:rFonts w:ascii="Times New Roman" w:hAnsi="Times New Roman" w:eastAsia="Arial Narrow" w:cs="Times New Roman"/>
          <w:sz w:val="24"/>
          <w:szCs w:val="20"/>
        </w:rPr>
        <w:tab/>
      </w:r>
      <w:r>
        <w:rPr>
          <w:rFonts w:ascii="Times New Roman" w:hAnsi="Times New Roman" w:eastAsia="Arial Narrow" w:cs="Times New Roman"/>
          <w:sz w:val="24"/>
          <w:szCs w:val="20"/>
        </w:rPr>
        <w:t>Estimated</w:t>
      </w:r>
      <w:r>
        <w:rPr>
          <w:rFonts w:ascii="Times New Roman" w:hAnsi="Times New Roman" w:eastAsia="Arial Narrow" w:cs="Times New Roman"/>
          <w:sz w:val="24"/>
          <w:szCs w:val="20"/>
        </w:rPr>
        <w:tab/>
      </w:r>
      <w:r>
        <w:rPr>
          <w:rFonts w:ascii="Times New Roman" w:hAnsi="Times New Roman" w:eastAsia="Arial Narrow" w:cs="Times New Roman"/>
          <w:sz w:val="24"/>
          <w:szCs w:val="20"/>
        </w:rPr>
        <w:t>daily</w:t>
      </w:r>
      <w:r>
        <w:rPr>
          <w:rFonts w:ascii="Times New Roman" w:hAnsi="Times New Roman" w:eastAsia="Arial Narrow" w:cs="Times New Roman"/>
          <w:sz w:val="24"/>
          <w:szCs w:val="20"/>
        </w:rPr>
        <w:tab/>
      </w:r>
      <w:r>
        <w:rPr>
          <w:rFonts w:ascii="Times New Roman" w:hAnsi="Times New Roman" w:eastAsia="Arial Narrow" w:cs="Times New Roman"/>
          <w:sz w:val="24"/>
          <w:szCs w:val="20"/>
        </w:rPr>
        <w:t>energy</w:t>
      </w:r>
      <w:r>
        <w:rPr>
          <w:rFonts w:ascii="Times New Roman" w:hAnsi="Times New Roman" w:eastAsia="Arial Narrow" w:cs="Times New Roman"/>
          <w:sz w:val="24"/>
          <w:szCs w:val="20"/>
        </w:rPr>
        <w:tab/>
      </w:r>
      <w:r>
        <w:rPr>
          <w:rFonts w:ascii="Times New Roman" w:hAnsi="Times New Roman" w:eastAsia="Arial Narrow" w:cs="Times New Roman"/>
          <w:sz w:val="24"/>
          <w:szCs w:val="20"/>
        </w:rPr>
        <w:t>expenditure</w:t>
      </w:r>
      <w:r>
        <w:rPr>
          <w:rFonts w:ascii="Times New Roman" w:hAnsi="Times New Roman" w:eastAsia="Arial Narrow" w:cs="Times New Roman"/>
          <w:sz w:val="24"/>
          <w:szCs w:val="20"/>
        </w:rPr>
        <w:tab/>
      </w:r>
      <w:r>
        <w:rPr>
          <w:rFonts w:ascii="Times New Roman" w:hAnsi="Times New Roman" w:eastAsia="Arial Narrow" w:cs="Times New Roman"/>
          <w:sz w:val="24"/>
          <w:szCs w:val="20"/>
        </w:rPr>
        <w:t>of</w:t>
      </w:r>
      <w:r>
        <w:rPr>
          <w:rFonts w:ascii="Times New Roman" w:hAnsi="Times New Roman" w:eastAsia="Arial Narrow" w:cs="Times New Roman"/>
          <w:sz w:val="24"/>
          <w:szCs w:val="20"/>
        </w:rPr>
        <w:tab/>
      </w:r>
      <w:r>
        <w:rPr>
          <w:rFonts w:ascii="Times New Roman" w:hAnsi="Times New Roman" w:eastAsia="Arial Narrow" w:cs="Times New Roman"/>
          <w:sz w:val="24"/>
          <w:szCs w:val="20"/>
        </w:rPr>
        <w:t>professional</w:t>
      </w:r>
      <w:r>
        <w:rPr>
          <w:rFonts w:ascii="Times New Roman" w:hAnsi="Times New Roman" w:eastAsia="Arial Narrow" w:cs="Times New Roman"/>
          <w:sz w:val="24"/>
          <w:szCs w:val="20"/>
        </w:rPr>
        <w:tab/>
      </w:r>
      <w:r>
        <w:rPr>
          <w:rFonts w:ascii="Times New Roman" w:hAnsi="Times New Roman" w:eastAsia="Arial Narrow" w:cs="Times New Roman"/>
          <w:sz w:val="24"/>
          <w:szCs w:val="20"/>
        </w:rPr>
        <w:t>association</w:t>
      </w:r>
      <w:r>
        <w:rPr>
          <w:rFonts w:ascii="Times New Roman" w:hAnsi="Times New Roman" w:eastAsia="Times New Roman" w:cs="Times New Roman"/>
          <w:sz w:val="20"/>
          <w:szCs w:val="20"/>
        </w:rPr>
        <w:t xml:space="preserve"> </w:t>
      </w:r>
      <w:r>
        <w:rPr>
          <w:rFonts w:ascii="Times New Roman" w:hAnsi="Times New Roman" w:eastAsia="Arial Narrow" w:cs="Times New Roman"/>
          <w:sz w:val="23"/>
          <w:szCs w:val="20"/>
        </w:rPr>
        <w:t xml:space="preserve">footballers. </w:t>
      </w:r>
      <w:r>
        <w:rPr>
          <w:rFonts w:ascii="Times New Roman" w:hAnsi="Times New Roman" w:eastAsia="Arial Narrow" w:cs="Times New Roman"/>
          <w:i/>
          <w:sz w:val="24"/>
          <w:szCs w:val="20"/>
        </w:rPr>
        <w:t xml:space="preserve">Ergonomics, </w:t>
      </w:r>
      <w:r>
        <w:rPr>
          <w:rFonts w:ascii="Times New Roman" w:hAnsi="Times New Roman" w:eastAsia="Arial Narrow" w:cs="Times New Roman"/>
          <w:sz w:val="24"/>
          <w:szCs w:val="20"/>
        </w:rPr>
        <w:t>22, 541-548.</w:t>
      </w:r>
    </w:p>
    <w:p>
      <w:pPr>
        <w:tabs>
          <w:tab w:val="left" w:pos="660"/>
          <w:tab w:val="left" w:pos="960"/>
          <w:tab w:val="left" w:pos="1440"/>
          <w:tab w:val="left" w:pos="2340"/>
          <w:tab w:val="left" w:pos="2680"/>
          <w:tab w:val="left" w:pos="3380"/>
          <w:tab w:val="left" w:pos="4400"/>
          <w:tab w:val="left" w:pos="4940"/>
          <w:tab w:val="left" w:pos="5680"/>
          <w:tab w:val="left" w:pos="6860"/>
          <w:tab w:val="left" w:pos="7160"/>
          <w:tab w:val="left" w:pos="8360"/>
          <w:tab w:val="left" w:pos="9480"/>
        </w:tabs>
        <w:spacing w:after="0" w:line="240" w:lineRule="auto"/>
        <w:jc w:val="both"/>
        <w:rPr>
          <w:rFonts w:ascii="Times New Roman" w:hAnsi="Times New Roman" w:eastAsia="Arial Narrow" w:cs="Times New Roman"/>
          <w:sz w:val="23"/>
          <w:szCs w:val="20"/>
        </w:rPr>
      </w:pP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Reilly, T. (1994) Physiological aspects of soccer. </w:t>
      </w:r>
      <w:r>
        <w:rPr>
          <w:rFonts w:ascii="Times New Roman" w:hAnsi="Times New Roman" w:eastAsia="Times New Roman" w:cs="Times New Roman"/>
          <w:i/>
          <w:sz w:val="24"/>
          <w:szCs w:val="24"/>
        </w:rPr>
        <w:t>Biology in Sport,</w:t>
      </w:r>
      <w:r>
        <w:rPr>
          <w:rFonts w:ascii="Times New Roman" w:hAnsi="Times New Roman" w:eastAsia="Times New Roman" w:cs="Times New Roman"/>
          <w:sz w:val="24"/>
          <w:szCs w:val="24"/>
        </w:rPr>
        <w:t xml:space="preserve"> 11, 3-20.</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Russell, M. and Pennock, A. (2011) Dietary analysis of young professional soccer players for 1 week during the competitive season. </w:t>
      </w:r>
      <w:r>
        <w:rPr>
          <w:rFonts w:ascii="Times New Roman" w:hAnsi="Times New Roman" w:eastAsia="Times New Roman" w:cs="Times New Roman"/>
          <w:i/>
          <w:sz w:val="24"/>
          <w:szCs w:val="24"/>
        </w:rPr>
        <w:t>Journal of Strength and Conditioning Research,</w:t>
      </w:r>
      <w:r>
        <w:rPr>
          <w:rFonts w:ascii="Times New Roman" w:hAnsi="Times New Roman" w:eastAsia="Times New Roman" w:cs="Times New Roman"/>
          <w:sz w:val="24"/>
          <w:szCs w:val="24"/>
        </w:rPr>
        <w:t xml:space="preserve"> 25(7), 1816-1823.</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Russell, M., Benton, D. and Kingsley, M. (2012) Influence of carbohydrate supplementation on skill performance during a soccer match simulation. </w:t>
      </w:r>
      <w:r>
        <w:rPr>
          <w:rFonts w:ascii="Times New Roman" w:hAnsi="Times New Roman" w:eastAsia="Times New Roman" w:cs="Times New Roman"/>
          <w:i/>
          <w:sz w:val="24"/>
          <w:szCs w:val="24"/>
        </w:rPr>
        <w:t>Journal of Science and Medicine in Sport,</w:t>
      </w:r>
      <w:r>
        <w:rPr>
          <w:rFonts w:ascii="Times New Roman" w:hAnsi="Times New Roman" w:eastAsia="Times New Roman" w:cs="Times New Roman"/>
          <w:sz w:val="24"/>
          <w:szCs w:val="24"/>
        </w:rPr>
        <w:t xml:space="preserve"> 15(4), 348-354.</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Russell, M. and Kingsley, M. (2014) The efficacy of acute nutritional interventions on soccer skill performance. </w:t>
      </w:r>
      <w:r>
        <w:rPr>
          <w:rFonts w:ascii="Times New Roman" w:hAnsi="Times New Roman" w:eastAsia="Times New Roman" w:cs="Times New Roman"/>
          <w:i/>
          <w:sz w:val="24"/>
          <w:szCs w:val="24"/>
        </w:rPr>
        <w:t>Sports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Medicine, </w:t>
      </w:r>
      <w:r>
        <w:rPr>
          <w:rFonts w:ascii="Times New Roman" w:hAnsi="Times New Roman" w:eastAsia="Times New Roman" w:cs="Times New Roman"/>
          <w:sz w:val="24"/>
          <w:szCs w:val="24"/>
        </w:rPr>
        <w:t>44, 957-970.</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Schmalz K. Nutritional beliefs and practices of adolescent athletes. J Sch Nurs 1993;9:18-22.</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Scientific Advisoty Commttee on Nutrition. 2015. Carbohydrates and Health. Public Health England, London, UK.</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Shobana S, Usha Kumari SR, Malleshi NG, Ali SZ (2007) Glycemic response of rice, wheat and finger millet based diabetic food formulations in normoglycemic subjects. Int J Food Sci Nutr 58 (5):363–372.</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Tharanathan RN, Mahadevamma S (2003) Grain legumes—a boon to human nutrition. Trends Food Sci Technol 14:507–518.</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Thebaudin JY, Lefebvre AC, Harrington M, Bourgeois CM (1997) Dietary fibre: nutritional and technological interest. Trends Food Sci Technol 8:41–48</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Welsh, R., Davis, M., Burke, J. and Williams, H. (2002) Carbohydrates and physical/mental performance during intermittent exercise to fatigue. </w:t>
      </w:r>
      <w:r>
        <w:rPr>
          <w:rFonts w:ascii="Times New Roman" w:hAnsi="Times New Roman" w:eastAsia="Times New Roman" w:cs="Times New Roman"/>
          <w:i/>
          <w:sz w:val="24"/>
          <w:szCs w:val="24"/>
        </w:rPr>
        <w:t>Medicine and Science in Sports and Exercise,</w:t>
      </w:r>
      <w:r>
        <w:rPr>
          <w:rFonts w:ascii="Times New Roman" w:hAnsi="Times New Roman" w:eastAsia="Times New Roman" w:cs="Times New Roman"/>
          <w:sz w:val="24"/>
          <w:szCs w:val="24"/>
        </w:rPr>
        <w:t xml:space="preserve"> 34, 723-731.</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Williams, C. (1994) Diet and sports performance. In: </w:t>
      </w:r>
      <w:r>
        <w:rPr>
          <w:rFonts w:ascii="Times New Roman" w:hAnsi="Times New Roman" w:eastAsia="Times New Roman" w:cs="Times New Roman"/>
          <w:i/>
          <w:sz w:val="24"/>
          <w:szCs w:val="24"/>
        </w:rPr>
        <w:t>Oxford Textbook of Sports Medicine.</w:t>
      </w:r>
      <w:r>
        <w:rPr>
          <w:rFonts w:ascii="Times New Roman" w:hAnsi="Times New Roman" w:eastAsia="Times New Roman" w:cs="Times New Roman"/>
          <w:sz w:val="24"/>
          <w:szCs w:val="24"/>
        </w:rPr>
        <w:t xml:space="preserve"> Oxford: Oxford University Press.</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Williams, J.H (2012) </w:t>
      </w:r>
      <w:r>
        <w:rPr>
          <w:rFonts w:ascii="Times New Roman" w:hAnsi="Times New Roman" w:eastAsia="Times New Roman" w:cs="Times New Roman"/>
          <w:i/>
          <w:sz w:val="24"/>
          <w:szCs w:val="24"/>
        </w:rPr>
        <w:t>The Science behind Soccer Nutrition.</w:t>
      </w:r>
      <w:r>
        <w:rPr>
          <w:rFonts w:ascii="Times New Roman" w:hAnsi="Times New Roman" w:eastAsia="Times New Roman" w:cs="Times New Roman"/>
          <w:sz w:val="24"/>
          <w:szCs w:val="24"/>
        </w:rPr>
        <w:t xml:space="preserve"> 2nd ed.</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Zawila LG, Steib CS, Hoogenboom B. The female collegiate cross</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country runner: Nutritional knowledge and attitudes. J Athl Train 2003;38:67</w:t>
      </w:r>
      <w:r>
        <w:rPr>
          <w:rFonts w:ascii="Times New Roman" w:hAnsi="Times New Roman" w:eastAsia="Times New Roman" w:cs="Times New Roman"/>
          <w:sz w:val="24"/>
          <w:szCs w:val="24"/>
        </w:rPr>
        <w:noBreakHyphen/>
      </w:r>
      <w:r>
        <w:rPr>
          <w:rFonts w:ascii="Times New Roman" w:hAnsi="Times New Roman" w:eastAsia="Times New Roman" w:cs="Times New Roman"/>
          <w:sz w:val="24"/>
          <w:szCs w:val="24"/>
        </w:rPr>
        <w:t>74.</w:t>
      </w:r>
    </w:p>
    <w:p>
      <w:pPr>
        <w:spacing w:line="240" w:lineRule="auto"/>
        <w:ind w:left="540" w:right="80" w:hanging="53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Zeederberg, C., Leach, L., Lambert, E.V., Noakes, T.D., Dennis, S.C., and Hawley, J.A. (1996) The effect of carbohydrate ingestion on the motor skill proficiency of soccer players. </w:t>
      </w:r>
      <w:r>
        <w:rPr>
          <w:rFonts w:ascii="Times New Roman" w:hAnsi="Times New Roman" w:eastAsia="Times New Roman" w:cs="Times New Roman"/>
          <w:i/>
          <w:sz w:val="24"/>
          <w:szCs w:val="24"/>
        </w:rPr>
        <w:t>International Journal of Sport Nutrition,</w:t>
      </w:r>
      <w:r>
        <w:rPr>
          <w:rFonts w:ascii="Times New Roman" w:hAnsi="Times New Roman" w:eastAsia="Times New Roman" w:cs="Times New Roman"/>
          <w:sz w:val="24"/>
          <w:szCs w:val="24"/>
        </w:rPr>
        <w:t xml:space="preserve"> 6(4), 348-355.</w:t>
      </w:r>
    </w:p>
    <w:bookmarkEnd w:id="23"/>
    <w:bookmarkEnd w:id="24"/>
    <w:bookmarkEnd w:id="29"/>
    <w:p>
      <w:pPr>
        <w:spacing w:line="240" w:lineRule="auto"/>
        <w:ind w:left="540" w:right="80" w:hanging="539"/>
        <w:rPr>
          <w:rFonts w:ascii="Times New Roman" w:hAnsi="Times New Roman" w:eastAsia="Times New Roman" w:cs="Times New Roman"/>
          <w:sz w:val="24"/>
          <w:szCs w:val="24"/>
        </w:rPr>
      </w:pPr>
    </w:p>
    <w:p>
      <w:pPr>
        <w:spacing w:line="240" w:lineRule="auto"/>
        <w:ind w:left="540" w:right="80" w:hanging="539"/>
        <w:rPr>
          <w:rFonts w:ascii="Times New Roman" w:hAnsi="Times New Roman" w:eastAsia="Times New Roman" w:cs="Times New Roman"/>
          <w:sz w:val="24"/>
          <w:szCs w:val="24"/>
        </w:rPr>
      </w:pPr>
    </w:p>
    <w:p>
      <w:pPr>
        <w:spacing w:line="240" w:lineRule="auto"/>
        <w:ind w:left="540" w:right="80" w:hanging="539"/>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sz w:val="24"/>
          <w:szCs w:val="24"/>
          <w:lang w:val="en-GB"/>
        </w:rPr>
      </w:pPr>
    </w:p>
    <w:sectPr>
      <w:type w:val="continuous"/>
      <w:pgSz w:w="12240" w:h="15840"/>
      <w:pgMar w:top="1440" w:right="1440" w:bottom="1440" w:left="1440" w:header="720" w:footer="720" w:gutter="0"/>
      <w:cols w:equalWidth="0" w:num="2">
        <w:col w:w="4467" w:space="425"/>
        <w:col w:w="4467"/>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D1729"/>
    <w:multiLevelType w:val="multilevel"/>
    <w:tmpl w:val="72AD1729"/>
    <w:lvl w:ilvl="0" w:tentative="0">
      <w:start w:val="1"/>
      <w:numFmt w:val="decimal"/>
      <w:lvlText w:val="%1."/>
      <w:lvlJc w:val="left"/>
      <w:pPr>
        <w:ind w:left="360" w:hanging="360"/>
      </w:pPr>
      <w:rPr>
        <w:rFonts w:hint="default"/>
      </w:rPr>
    </w:lvl>
    <w:lvl w:ilvl="1" w:tentative="0">
      <w:start w:val="1"/>
      <w:numFmt w:val="decimal"/>
      <w:isLgl/>
      <w:lvlText w:val="%1.%2"/>
      <w:lvlJc w:val="left"/>
      <w:pPr>
        <w:ind w:left="45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62"/>
    <w:rsid w:val="00001EC3"/>
    <w:rsid w:val="00004269"/>
    <w:rsid w:val="00005C09"/>
    <w:rsid w:val="00005E5D"/>
    <w:rsid w:val="00006A39"/>
    <w:rsid w:val="00007846"/>
    <w:rsid w:val="00013E8F"/>
    <w:rsid w:val="000218A0"/>
    <w:rsid w:val="00021CE1"/>
    <w:rsid w:val="00025296"/>
    <w:rsid w:val="000302DA"/>
    <w:rsid w:val="000305EB"/>
    <w:rsid w:val="00042C67"/>
    <w:rsid w:val="00043AD5"/>
    <w:rsid w:val="00046257"/>
    <w:rsid w:val="00050586"/>
    <w:rsid w:val="0005283D"/>
    <w:rsid w:val="000532A3"/>
    <w:rsid w:val="00054543"/>
    <w:rsid w:val="0005626C"/>
    <w:rsid w:val="000710C7"/>
    <w:rsid w:val="00072FEF"/>
    <w:rsid w:val="000751E7"/>
    <w:rsid w:val="00080041"/>
    <w:rsid w:val="00080073"/>
    <w:rsid w:val="00081EB1"/>
    <w:rsid w:val="00082517"/>
    <w:rsid w:val="000836A3"/>
    <w:rsid w:val="00085C79"/>
    <w:rsid w:val="00090481"/>
    <w:rsid w:val="000907B9"/>
    <w:rsid w:val="0009165E"/>
    <w:rsid w:val="0009450A"/>
    <w:rsid w:val="00094D4C"/>
    <w:rsid w:val="0009500F"/>
    <w:rsid w:val="00096415"/>
    <w:rsid w:val="000A023D"/>
    <w:rsid w:val="000A10DA"/>
    <w:rsid w:val="000A1F03"/>
    <w:rsid w:val="000A5AA7"/>
    <w:rsid w:val="000A7DCF"/>
    <w:rsid w:val="000B0BA4"/>
    <w:rsid w:val="000B0CB7"/>
    <w:rsid w:val="000B3AB4"/>
    <w:rsid w:val="000B4A0E"/>
    <w:rsid w:val="000B7CEA"/>
    <w:rsid w:val="000C2A0E"/>
    <w:rsid w:val="000C6AAA"/>
    <w:rsid w:val="000C7B1E"/>
    <w:rsid w:val="000C7F8F"/>
    <w:rsid w:val="000D0540"/>
    <w:rsid w:val="000D127A"/>
    <w:rsid w:val="000D1F6F"/>
    <w:rsid w:val="000D3DA7"/>
    <w:rsid w:val="000D49E7"/>
    <w:rsid w:val="000D681B"/>
    <w:rsid w:val="000E090B"/>
    <w:rsid w:val="000F200D"/>
    <w:rsid w:val="000F48CA"/>
    <w:rsid w:val="000F57A2"/>
    <w:rsid w:val="000F5AAA"/>
    <w:rsid w:val="001006B7"/>
    <w:rsid w:val="00102789"/>
    <w:rsid w:val="00107242"/>
    <w:rsid w:val="001100D4"/>
    <w:rsid w:val="00111631"/>
    <w:rsid w:val="00114C62"/>
    <w:rsid w:val="001176B9"/>
    <w:rsid w:val="001179BF"/>
    <w:rsid w:val="00120DEF"/>
    <w:rsid w:val="001211D6"/>
    <w:rsid w:val="001216C0"/>
    <w:rsid w:val="00122B71"/>
    <w:rsid w:val="00123350"/>
    <w:rsid w:val="001269E3"/>
    <w:rsid w:val="00132406"/>
    <w:rsid w:val="00134881"/>
    <w:rsid w:val="0013511A"/>
    <w:rsid w:val="001412EC"/>
    <w:rsid w:val="00141B15"/>
    <w:rsid w:val="00144E87"/>
    <w:rsid w:val="00146917"/>
    <w:rsid w:val="001509AC"/>
    <w:rsid w:val="00152B54"/>
    <w:rsid w:val="0016335A"/>
    <w:rsid w:val="001651B4"/>
    <w:rsid w:val="00170222"/>
    <w:rsid w:val="0017024B"/>
    <w:rsid w:val="00172B6E"/>
    <w:rsid w:val="00173E03"/>
    <w:rsid w:val="00180217"/>
    <w:rsid w:val="00180F3D"/>
    <w:rsid w:val="0018188B"/>
    <w:rsid w:val="00182323"/>
    <w:rsid w:val="00192A47"/>
    <w:rsid w:val="0019483F"/>
    <w:rsid w:val="001A0AF7"/>
    <w:rsid w:val="001A0E85"/>
    <w:rsid w:val="001A2C90"/>
    <w:rsid w:val="001A3846"/>
    <w:rsid w:val="001A4CA3"/>
    <w:rsid w:val="001A7F1B"/>
    <w:rsid w:val="001B2789"/>
    <w:rsid w:val="001B3BDB"/>
    <w:rsid w:val="001B3CCD"/>
    <w:rsid w:val="001B4A3D"/>
    <w:rsid w:val="001B7A36"/>
    <w:rsid w:val="001B7B89"/>
    <w:rsid w:val="001C06D9"/>
    <w:rsid w:val="001C0E84"/>
    <w:rsid w:val="001C2234"/>
    <w:rsid w:val="001C5288"/>
    <w:rsid w:val="001C53CE"/>
    <w:rsid w:val="001C5630"/>
    <w:rsid w:val="001C63F6"/>
    <w:rsid w:val="001D2F30"/>
    <w:rsid w:val="001D3948"/>
    <w:rsid w:val="001D3BF9"/>
    <w:rsid w:val="001D45BF"/>
    <w:rsid w:val="001D796C"/>
    <w:rsid w:val="001E4691"/>
    <w:rsid w:val="001E4C7C"/>
    <w:rsid w:val="001E6E17"/>
    <w:rsid w:val="001F29DC"/>
    <w:rsid w:val="001F340D"/>
    <w:rsid w:val="001F3DC2"/>
    <w:rsid w:val="001F6904"/>
    <w:rsid w:val="00202194"/>
    <w:rsid w:val="00202D12"/>
    <w:rsid w:val="0020324C"/>
    <w:rsid w:val="002044AE"/>
    <w:rsid w:val="00206CFF"/>
    <w:rsid w:val="00207364"/>
    <w:rsid w:val="00207671"/>
    <w:rsid w:val="0021458B"/>
    <w:rsid w:val="00214853"/>
    <w:rsid w:val="00217919"/>
    <w:rsid w:val="00217E00"/>
    <w:rsid w:val="0022138A"/>
    <w:rsid w:val="002218CD"/>
    <w:rsid w:val="00221D35"/>
    <w:rsid w:val="00222606"/>
    <w:rsid w:val="00222905"/>
    <w:rsid w:val="00222EA8"/>
    <w:rsid w:val="00225A35"/>
    <w:rsid w:val="002261DE"/>
    <w:rsid w:val="00227359"/>
    <w:rsid w:val="00227CE3"/>
    <w:rsid w:val="00233CFD"/>
    <w:rsid w:val="00236C3D"/>
    <w:rsid w:val="00241604"/>
    <w:rsid w:val="0024220C"/>
    <w:rsid w:val="00246088"/>
    <w:rsid w:val="00247C4D"/>
    <w:rsid w:val="00250B0A"/>
    <w:rsid w:val="00251029"/>
    <w:rsid w:val="002529BF"/>
    <w:rsid w:val="00253E98"/>
    <w:rsid w:val="002557DC"/>
    <w:rsid w:val="00255BB7"/>
    <w:rsid w:val="0026002C"/>
    <w:rsid w:val="00260B6B"/>
    <w:rsid w:val="0026236D"/>
    <w:rsid w:val="00265041"/>
    <w:rsid w:val="00266038"/>
    <w:rsid w:val="00267E5F"/>
    <w:rsid w:val="00276300"/>
    <w:rsid w:val="00282AA6"/>
    <w:rsid w:val="00290EA2"/>
    <w:rsid w:val="00291679"/>
    <w:rsid w:val="0029476A"/>
    <w:rsid w:val="002976EA"/>
    <w:rsid w:val="002A021F"/>
    <w:rsid w:val="002A5D93"/>
    <w:rsid w:val="002B574C"/>
    <w:rsid w:val="002B6A3E"/>
    <w:rsid w:val="002B7798"/>
    <w:rsid w:val="002C08C0"/>
    <w:rsid w:val="002C0F1F"/>
    <w:rsid w:val="002C148F"/>
    <w:rsid w:val="002C3448"/>
    <w:rsid w:val="002C361F"/>
    <w:rsid w:val="002C4171"/>
    <w:rsid w:val="002C4AF3"/>
    <w:rsid w:val="002D229E"/>
    <w:rsid w:val="002D584F"/>
    <w:rsid w:val="002E1269"/>
    <w:rsid w:val="002E202B"/>
    <w:rsid w:val="002E35F9"/>
    <w:rsid w:val="002E4EE4"/>
    <w:rsid w:val="002E559E"/>
    <w:rsid w:val="002E680C"/>
    <w:rsid w:val="002E6984"/>
    <w:rsid w:val="00302F9E"/>
    <w:rsid w:val="00303290"/>
    <w:rsid w:val="0032222F"/>
    <w:rsid w:val="00323724"/>
    <w:rsid w:val="003255D0"/>
    <w:rsid w:val="00326923"/>
    <w:rsid w:val="0033027B"/>
    <w:rsid w:val="00331E09"/>
    <w:rsid w:val="00333554"/>
    <w:rsid w:val="003362ED"/>
    <w:rsid w:val="00337C3B"/>
    <w:rsid w:val="00341178"/>
    <w:rsid w:val="00343B8B"/>
    <w:rsid w:val="00343F5A"/>
    <w:rsid w:val="00347309"/>
    <w:rsid w:val="00354AB9"/>
    <w:rsid w:val="00357A65"/>
    <w:rsid w:val="00362147"/>
    <w:rsid w:val="003625BE"/>
    <w:rsid w:val="00365D52"/>
    <w:rsid w:val="00365E60"/>
    <w:rsid w:val="00370374"/>
    <w:rsid w:val="00371D1D"/>
    <w:rsid w:val="00373004"/>
    <w:rsid w:val="00373211"/>
    <w:rsid w:val="00375C69"/>
    <w:rsid w:val="00376D3F"/>
    <w:rsid w:val="0037783C"/>
    <w:rsid w:val="0038029E"/>
    <w:rsid w:val="0039044A"/>
    <w:rsid w:val="00394377"/>
    <w:rsid w:val="00394F34"/>
    <w:rsid w:val="00395A72"/>
    <w:rsid w:val="003A3A0A"/>
    <w:rsid w:val="003A6143"/>
    <w:rsid w:val="003B05BB"/>
    <w:rsid w:val="003C18A4"/>
    <w:rsid w:val="003C2080"/>
    <w:rsid w:val="003C2C27"/>
    <w:rsid w:val="003C7686"/>
    <w:rsid w:val="003D5978"/>
    <w:rsid w:val="003E3F84"/>
    <w:rsid w:val="003E6D0F"/>
    <w:rsid w:val="003E716D"/>
    <w:rsid w:val="003F12C1"/>
    <w:rsid w:val="003F1995"/>
    <w:rsid w:val="003F21F2"/>
    <w:rsid w:val="003F5E2B"/>
    <w:rsid w:val="003F7009"/>
    <w:rsid w:val="003F7297"/>
    <w:rsid w:val="003F75B0"/>
    <w:rsid w:val="003F78E2"/>
    <w:rsid w:val="003F7987"/>
    <w:rsid w:val="00401831"/>
    <w:rsid w:val="004029BF"/>
    <w:rsid w:val="00410352"/>
    <w:rsid w:val="004113F1"/>
    <w:rsid w:val="004137FB"/>
    <w:rsid w:val="0041393F"/>
    <w:rsid w:val="00413B2E"/>
    <w:rsid w:val="00415856"/>
    <w:rsid w:val="00416380"/>
    <w:rsid w:val="00416B69"/>
    <w:rsid w:val="00421993"/>
    <w:rsid w:val="004222C9"/>
    <w:rsid w:val="00422629"/>
    <w:rsid w:val="00422F73"/>
    <w:rsid w:val="004234D7"/>
    <w:rsid w:val="00441A57"/>
    <w:rsid w:val="00450259"/>
    <w:rsid w:val="004506BA"/>
    <w:rsid w:val="00451D4D"/>
    <w:rsid w:val="00452FE8"/>
    <w:rsid w:val="00457550"/>
    <w:rsid w:val="004601A4"/>
    <w:rsid w:val="00460888"/>
    <w:rsid w:val="00467322"/>
    <w:rsid w:val="004704C9"/>
    <w:rsid w:val="00473793"/>
    <w:rsid w:val="004777ED"/>
    <w:rsid w:val="00482B8D"/>
    <w:rsid w:val="00482F46"/>
    <w:rsid w:val="00486577"/>
    <w:rsid w:val="0048767C"/>
    <w:rsid w:val="004963A3"/>
    <w:rsid w:val="00496784"/>
    <w:rsid w:val="004975AD"/>
    <w:rsid w:val="004A01AE"/>
    <w:rsid w:val="004A3008"/>
    <w:rsid w:val="004A41F9"/>
    <w:rsid w:val="004A5DCF"/>
    <w:rsid w:val="004B27B2"/>
    <w:rsid w:val="004C38EA"/>
    <w:rsid w:val="004C57E9"/>
    <w:rsid w:val="004D1FF6"/>
    <w:rsid w:val="004D2A93"/>
    <w:rsid w:val="004D3299"/>
    <w:rsid w:val="004D7BFA"/>
    <w:rsid w:val="004E1E50"/>
    <w:rsid w:val="004E2BAB"/>
    <w:rsid w:val="004E3CC5"/>
    <w:rsid w:val="004E68D6"/>
    <w:rsid w:val="004E6ACE"/>
    <w:rsid w:val="004F4909"/>
    <w:rsid w:val="004F4BDB"/>
    <w:rsid w:val="004F645B"/>
    <w:rsid w:val="00501E97"/>
    <w:rsid w:val="00504E12"/>
    <w:rsid w:val="0052425C"/>
    <w:rsid w:val="00526931"/>
    <w:rsid w:val="005276CD"/>
    <w:rsid w:val="005316E1"/>
    <w:rsid w:val="00541D3D"/>
    <w:rsid w:val="005422F6"/>
    <w:rsid w:val="00545CD4"/>
    <w:rsid w:val="005503A1"/>
    <w:rsid w:val="00551789"/>
    <w:rsid w:val="0055326D"/>
    <w:rsid w:val="0055447E"/>
    <w:rsid w:val="0055621E"/>
    <w:rsid w:val="00557CAF"/>
    <w:rsid w:val="0056029A"/>
    <w:rsid w:val="005611EC"/>
    <w:rsid w:val="005618F8"/>
    <w:rsid w:val="0056427B"/>
    <w:rsid w:val="00565F52"/>
    <w:rsid w:val="00567DB6"/>
    <w:rsid w:val="00570732"/>
    <w:rsid w:val="00574C43"/>
    <w:rsid w:val="005756D4"/>
    <w:rsid w:val="00586331"/>
    <w:rsid w:val="00587C65"/>
    <w:rsid w:val="00590EEE"/>
    <w:rsid w:val="005925A9"/>
    <w:rsid w:val="00594432"/>
    <w:rsid w:val="00594677"/>
    <w:rsid w:val="00595695"/>
    <w:rsid w:val="005972A7"/>
    <w:rsid w:val="00597C43"/>
    <w:rsid w:val="005A2180"/>
    <w:rsid w:val="005A2483"/>
    <w:rsid w:val="005A24D4"/>
    <w:rsid w:val="005A5F49"/>
    <w:rsid w:val="005B34EB"/>
    <w:rsid w:val="005B4B98"/>
    <w:rsid w:val="005B503E"/>
    <w:rsid w:val="005B5368"/>
    <w:rsid w:val="005B7E76"/>
    <w:rsid w:val="005C1247"/>
    <w:rsid w:val="005C421D"/>
    <w:rsid w:val="005C463E"/>
    <w:rsid w:val="005C54DE"/>
    <w:rsid w:val="005C70E2"/>
    <w:rsid w:val="005D1DB0"/>
    <w:rsid w:val="005D3B57"/>
    <w:rsid w:val="005D55E5"/>
    <w:rsid w:val="005E2026"/>
    <w:rsid w:val="005E3DFA"/>
    <w:rsid w:val="005E6BF8"/>
    <w:rsid w:val="005E76BB"/>
    <w:rsid w:val="005F0D39"/>
    <w:rsid w:val="005F330E"/>
    <w:rsid w:val="005F3652"/>
    <w:rsid w:val="005F3BD1"/>
    <w:rsid w:val="005F6F9F"/>
    <w:rsid w:val="005F7761"/>
    <w:rsid w:val="005F7D31"/>
    <w:rsid w:val="0060008B"/>
    <w:rsid w:val="00601632"/>
    <w:rsid w:val="00607E2E"/>
    <w:rsid w:val="00611379"/>
    <w:rsid w:val="00615F19"/>
    <w:rsid w:val="0062078A"/>
    <w:rsid w:val="006207AF"/>
    <w:rsid w:val="00620DF2"/>
    <w:rsid w:val="00623A5A"/>
    <w:rsid w:val="00627EAC"/>
    <w:rsid w:val="00630BB6"/>
    <w:rsid w:val="00631875"/>
    <w:rsid w:val="00634B4C"/>
    <w:rsid w:val="00640491"/>
    <w:rsid w:val="00641B6E"/>
    <w:rsid w:val="00646D54"/>
    <w:rsid w:val="00647547"/>
    <w:rsid w:val="00652E19"/>
    <w:rsid w:val="00654ECE"/>
    <w:rsid w:val="00660D87"/>
    <w:rsid w:val="006637F7"/>
    <w:rsid w:val="00663CE9"/>
    <w:rsid w:val="00664491"/>
    <w:rsid w:val="00666696"/>
    <w:rsid w:val="00666BBB"/>
    <w:rsid w:val="006702B2"/>
    <w:rsid w:val="006702BB"/>
    <w:rsid w:val="00672C20"/>
    <w:rsid w:val="0068162B"/>
    <w:rsid w:val="00682E35"/>
    <w:rsid w:val="00685083"/>
    <w:rsid w:val="00685473"/>
    <w:rsid w:val="006944B3"/>
    <w:rsid w:val="00697364"/>
    <w:rsid w:val="006A3D15"/>
    <w:rsid w:val="006A6704"/>
    <w:rsid w:val="006A6C02"/>
    <w:rsid w:val="006B1259"/>
    <w:rsid w:val="006B242A"/>
    <w:rsid w:val="006B2BDD"/>
    <w:rsid w:val="006B4627"/>
    <w:rsid w:val="006B4843"/>
    <w:rsid w:val="006B571D"/>
    <w:rsid w:val="006B583C"/>
    <w:rsid w:val="006C0989"/>
    <w:rsid w:val="006C150A"/>
    <w:rsid w:val="006C32C0"/>
    <w:rsid w:val="006C5962"/>
    <w:rsid w:val="006C769E"/>
    <w:rsid w:val="006D23BC"/>
    <w:rsid w:val="006E0968"/>
    <w:rsid w:val="006E1ECF"/>
    <w:rsid w:val="006E210C"/>
    <w:rsid w:val="006F105C"/>
    <w:rsid w:val="006F2E77"/>
    <w:rsid w:val="00702BEC"/>
    <w:rsid w:val="00702E9A"/>
    <w:rsid w:val="00702FD7"/>
    <w:rsid w:val="00705D0C"/>
    <w:rsid w:val="00706B98"/>
    <w:rsid w:val="00707B6A"/>
    <w:rsid w:val="00710171"/>
    <w:rsid w:val="00712555"/>
    <w:rsid w:val="00716E1E"/>
    <w:rsid w:val="0072726A"/>
    <w:rsid w:val="007276CC"/>
    <w:rsid w:val="007309A0"/>
    <w:rsid w:val="00737803"/>
    <w:rsid w:val="007401CF"/>
    <w:rsid w:val="0074433E"/>
    <w:rsid w:val="0074624C"/>
    <w:rsid w:val="007463A5"/>
    <w:rsid w:val="00746706"/>
    <w:rsid w:val="00747B2E"/>
    <w:rsid w:val="00750F43"/>
    <w:rsid w:val="0075550C"/>
    <w:rsid w:val="00757166"/>
    <w:rsid w:val="00763B69"/>
    <w:rsid w:val="0076424A"/>
    <w:rsid w:val="00764F6A"/>
    <w:rsid w:val="007663B2"/>
    <w:rsid w:val="007671C5"/>
    <w:rsid w:val="00770179"/>
    <w:rsid w:val="00771D33"/>
    <w:rsid w:val="00776E64"/>
    <w:rsid w:val="00777888"/>
    <w:rsid w:val="00780988"/>
    <w:rsid w:val="00780BA8"/>
    <w:rsid w:val="00781E19"/>
    <w:rsid w:val="00784865"/>
    <w:rsid w:val="0078543A"/>
    <w:rsid w:val="007863E2"/>
    <w:rsid w:val="00790B6E"/>
    <w:rsid w:val="00791BCF"/>
    <w:rsid w:val="007927F7"/>
    <w:rsid w:val="00794FDE"/>
    <w:rsid w:val="0079514C"/>
    <w:rsid w:val="00795169"/>
    <w:rsid w:val="0079569D"/>
    <w:rsid w:val="007A5550"/>
    <w:rsid w:val="007A65DB"/>
    <w:rsid w:val="007A7583"/>
    <w:rsid w:val="007B3E48"/>
    <w:rsid w:val="007B4A93"/>
    <w:rsid w:val="007C12FC"/>
    <w:rsid w:val="007C26F3"/>
    <w:rsid w:val="007C3415"/>
    <w:rsid w:val="007D2B5C"/>
    <w:rsid w:val="007D48D0"/>
    <w:rsid w:val="007D64EF"/>
    <w:rsid w:val="007E2058"/>
    <w:rsid w:val="007E55EA"/>
    <w:rsid w:val="007E6CD3"/>
    <w:rsid w:val="007E6FA5"/>
    <w:rsid w:val="007E7D66"/>
    <w:rsid w:val="007F17D4"/>
    <w:rsid w:val="007F6756"/>
    <w:rsid w:val="007F79F3"/>
    <w:rsid w:val="007F7C6A"/>
    <w:rsid w:val="00801BB0"/>
    <w:rsid w:val="008121FA"/>
    <w:rsid w:val="0081436E"/>
    <w:rsid w:val="00815F2A"/>
    <w:rsid w:val="00817027"/>
    <w:rsid w:val="008247EF"/>
    <w:rsid w:val="00826F2E"/>
    <w:rsid w:val="008279BE"/>
    <w:rsid w:val="00832BFE"/>
    <w:rsid w:val="0084047A"/>
    <w:rsid w:val="00842D1E"/>
    <w:rsid w:val="0084371A"/>
    <w:rsid w:val="008473DB"/>
    <w:rsid w:val="008503D8"/>
    <w:rsid w:val="00854580"/>
    <w:rsid w:val="00857CD6"/>
    <w:rsid w:val="00857D7C"/>
    <w:rsid w:val="0086250E"/>
    <w:rsid w:val="00864997"/>
    <w:rsid w:val="00864A16"/>
    <w:rsid w:val="00865F65"/>
    <w:rsid w:val="00865FE2"/>
    <w:rsid w:val="008672AA"/>
    <w:rsid w:val="0086741D"/>
    <w:rsid w:val="0086782A"/>
    <w:rsid w:val="008741BF"/>
    <w:rsid w:val="0087584E"/>
    <w:rsid w:val="00882B22"/>
    <w:rsid w:val="00887DB4"/>
    <w:rsid w:val="008938F5"/>
    <w:rsid w:val="008958F1"/>
    <w:rsid w:val="008A0E1F"/>
    <w:rsid w:val="008A36E3"/>
    <w:rsid w:val="008A4B40"/>
    <w:rsid w:val="008A5399"/>
    <w:rsid w:val="008A5F80"/>
    <w:rsid w:val="008A70C4"/>
    <w:rsid w:val="008B2620"/>
    <w:rsid w:val="008B4427"/>
    <w:rsid w:val="008B4C1A"/>
    <w:rsid w:val="008B5E2A"/>
    <w:rsid w:val="008B5E8D"/>
    <w:rsid w:val="008C17B8"/>
    <w:rsid w:val="008C46EE"/>
    <w:rsid w:val="008D5EAA"/>
    <w:rsid w:val="008D72C0"/>
    <w:rsid w:val="008E107F"/>
    <w:rsid w:val="008E1D60"/>
    <w:rsid w:val="008F03B5"/>
    <w:rsid w:val="008F25B5"/>
    <w:rsid w:val="008F5BC5"/>
    <w:rsid w:val="008F6409"/>
    <w:rsid w:val="00900841"/>
    <w:rsid w:val="0090386D"/>
    <w:rsid w:val="009076B1"/>
    <w:rsid w:val="009124B0"/>
    <w:rsid w:val="00915E79"/>
    <w:rsid w:val="009212DD"/>
    <w:rsid w:val="00922933"/>
    <w:rsid w:val="009276B6"/>
    <w:rsid w:val="009307FC"/>
    <w:rsid w:val="00930B9B"/>
    <w:rsid w:val="00932C04"/>
    <w:rsid w:val="00941C3E"/>
    <w:rsid w:val="0094211B"/>
    <w:rsid w:val="00945D0E"/>
    <w:rsid w:val="009461BD"/>
    <w:rsid w:val="009503F9"/>
    <w:rsid w:val="00951B8A"/>
    <w:rsid w:val="0095339A"/>
    <w:rsid w:val="0096267A"/>
    <w:rsid w:val="009700B3"/>
    <w:rsid w:val="00970DAB"/>
    <w:rsid w:val="00972CE5"/>
    <w:rsid w:val="00983007"/>
    <w:rsid w:val="009838FB"/>
    <w:rsid w:val="00983C0C"/>
    <w:rsid w:val="00985A45"/>
    <w:rsid w:val="00985D47"/>
    <w:rsid w:val="00986BF1"/>
    <w:rsid w:val="0098709F"/>
    <w:rsid w:val="00987FEF"/>
    <w:rsid w:val="00990287"/>
    <w:rsid w:val="009910C4"/>
    <w:rsid w:val="00991777"/>
    <w:rsid w:val="00993641"/>
    <w:rsid w:val="0099705C"/>
    <w:rsid w:val="00997468"/>
    <w:rsid w:val="009A3893"/>
    <w:rsid w:val="009A3CBC"/>
    <w:rsid w:val="009A4F2A"/>
    <w:rsid w:val="009A683A"/>
    <w:rsid w:val="009A6BF6"/>
    <w:rsid w:val="009A7E62"/>
    <w:rsid w:val="009B17AB"/>
    <w:rsid w:val="009B27F7"/>
    <w:rsid w:val="009B3741"/>
    <w:rsid w:val="009C2797"/>
    <w:rsid w:val="009C2CBA"/>
    <w:rsid w:val="009C3298"/>
    <w:rsid w:val="009D4030"/>
    <w:rsid w:val="009D7FA1"/>
    <w:rsid w:val="009E03C9"/>
    <w:rsid w:val="009E325A"/>
    <w:rsid w:val="009E3505"/>
    <w:rsid w:val="009E65C5"/>
    <w:rsid w:val="009E6CCF"/>
    <w:rsid w:val="009F0894"/>
    <w:rsid w:val="009F17CC"/>
    <w:rsid w:val="009F20F1"/>
    <w:rsid w:val="009F38B3"/>
    <w:rsid w:val="009F4402"/>
    <w:rsid w:val="009F4FCE"/>
    <w:rsid w:val="009F77B3"/>
    <w:rsid w:val="00A00DEC"/>
    <w:rsid w:val="00A045C1"/>
    <w:rsid w:val="00A047D0"/>
    <w:rsid w:val="00A05624"/>
    <w:rsid w:val="00A122C9"/>
    <w:rsid w:val="00A15788"/>
    <w:rsid w:val="00A16159"/>
    <w:rsid w:val="00A171F3"/>
    <w:rsid w:val="00A175E6"/>
    <w:rsid w:val="00A22223"/>
    <w:rsid w:val="00A2238C"/>
    <w:rsid w:val="00A23CA5"/>
    <w:rsid w:val="00A25C77"/>
    <w:rsid w:val="00A2654F"/>
    <w:rsid w:val="00A27135"/>
    <w:rsid w:val="00A30BDE"/>
    <w:rsid w:val="00A341C4"/>
    <w:rsid w:val="00A4149C"/>
    <w:rsid w:val="00A44FD0"/>
    <w:rsid w:val="00A46160"/>
    <w:rsid w:val="00A4645F"/>
    <w:rsid w:val="00A47386"/>
    <w:rsid w:val="00A52290"/>
    <w:rsid w:val="00A54C5A"/>
    <w:rsid w:val="00A555AC"/>
    <w:rsid w:val="00A5585F"/>
    <w:rsid w:val="00A56647"/>
    <w:rsid w:val="00A5679C"/>
    <w:rsid w:val="00A63C16"/>
    <w:rsid w:val="00A6686A"/>
    <w:rsid w:val="00A67939"/>
    <w:rsid w:val="00A67EA1"/>
    <w:rsid w:val="00A724A5"/>
    <w:rsid w:val="00A740CF"/>
    <w:rsid w:val="00A74749"/>
    <w:rsid w:val="00A80B28"/>
    <w:rsid w:val="00A8120A"/>
    <w:rsid w:val="00A816A4"/>
    <w:rsid w:val="00A83B30"/>
    <w:rsid w:val="00A854AC"/>
    <w:rsid w:val="00A86E06"/>
    <w:rsid w:val="00A87560"/>
    <w:rsid w:val="00A915A0"/>
    <w:rsid w:val="00A92D64"/>
    <w:rsid w:val="00A931CE"/>
    <w:rsid w:val="00A9396D"/>
    <w:rsid w:val="00A95EBD"/>
    <w:rsid w:val="00AA0801"/>
    <w:rsid w:val="00AA08F7"/>
    <w:rsid w:val="00AA15AA"/>
    <w:rsid w:val="00AA5454"/>
    <w:rsid w:val="00AA67E1"/>
    <w:rsid w:val="00AA749B"/>
    <w:rsid w:val="00AB0913"/>
    <w:rsid w:val="00AB18E8"/>
    <w:rsid w:val="00AB294C"/>
    <w:rsid w:val="00AB679A"/>
    <w:rsid w:val="00AB6909"/>
    <w:rsid w:val="00AC0325"/>
    <w:rsid w:val="00AC1B41"/>
    <w:rsid w:val="00AC4652"/>
    <w:rsid w:val="00AC4F4A"/>
    <w:rsid w:val="00AC50A0"/>
    <w:rsid w:val="00AC5173"/>
    <w:rsid w:val="00AD0264"/>
    <w:rsid w:val="00AD1006"/>
    <w:rsid w:val="00AD31BA"/>
    <w:rsid w:val="00AE262F"/>
    <w:rsid w:val="00AF3A4C"/>
    <w:rsid w:val="00AF7A7B"/>
    <w:rsid w:val="00AF7F91"/>
    <w:rsid w:val="00B0101C"/>
    <w:rsid w:val="00B01AB7"/>
    <w:rsid w:val="00B01B59"/>
    <w:rsid w:val="00B04E61"/>
    <w:rsid w:val="00B05278"/>
    <w:rsid w:val="00B05FA1"/>
    <w:rsid w:val="00B065FC"/>
    <w:rsid w:val="00B06746"/>
    <w:rsid w:val="00B123D3"/>
    <w:rsid w:val="00B133FE"/>
    <w:rsid w:val="00B14421"/>
    <w:rsid w:val="00B14C6A"/>
    <w:rsid w:val="00B14DB1"/>
    <w:rsid w:val="00B155C5"/>
    <w:rsid w:val="00B16466"/>
    <w:rsid w:val="00B1656C"/>
    <w:rsid w:val="00B279CA"/>
    <w:rsid w:val="00B27BFE"/>
    <w:rsid w:val="00B30248"/>
    <w:rsid w:val="00B31F6D"/>
    <w:rsid w:val="00B323DB"/>
    <w:rsid w:val="00B327F6"/>
    <w:rsid w:val="00B338A1"/>
    <w:rsid w:val="00B3497F"/>
    <w:rsid w:val="00B35A93"/>
    <w:rsid w:val="00B4025E"/>
    <w:rsid w:val="00B41DCB"/>
    <w:rsid w:val="00B425AE"/>
    <w:rsid w:val="00B478F9"/>
    <w:rsid w:val="00B518EB"/>
    <w:rsid w:val="00B52D37"/>
    <w:rsid w:val="00B57235"/>
    <w:rsid w:val="00B6081A"/>
    <w:rsid w:val="00B6234C"/>
    <w:rsid w:val="00B67ACC"/>
    <w:rsid w:val="00B73505"/>
    <w:rsid w:val="00B73AEE"/>
    <w:rsid w:val="00B74227"/>
    <w:rsid w:val="00B835E5"/>
    <w:rsid w:val="00B85F4B"/>
    <w:rsid w:val="00B8601E"/>
    <w:rsid w:val="00B8793E"/>
    <w:rsid w:val="00B94598"/>
    <w:rsid w:val="00B95D86"/>
    <w:rsid w:val="00BA243A"/>
    <w:rsid w:val="00BA3D93"/>
    <w:rsid w:val="00BA54E0"/>
    <w:rsid w:val="00BA63EA"/>
    <w:rsid w:val="00BA760A"/>
    <w:rsid w:val="00BB2D58"/>
    <w:rsid w:val="00BB3C27"/>
    <w:rsid w:val="00BB606D"/>
    <w:rsid w:val="00BB7C08"/>
    <w:rsid w:val="00BC004E"/>
    <w:rsid w:val="00BC173D"/>
    <w:rsid w:val="00BC36FB"/>
    <w:rsid w:val="00BC373F"/>
    <w:rsid w:val="00BC61E0"/>
    <w:rsid w:val="00BC6AD2"/>
    <w:rsid w:val="00BD1FBE"/>
    <w:rsid w:val="00BD2906"/>
    <w:rsid w:val="00BD29D7"/>
    <w:rsid w:val="00BD392A"/>
    <w:rsid w:val="00BD4E5C"/>
    <w:rsid w:val="00BD512D"/>
    <w:rsid w:val="00BD5EA5"/>
    <w:rsid w:val="00BD7D0D"/>
    <w:rsid w:val="00BE3B46"/>
    <w:rsid w:val="00BE6B83"/>
    <w:rsid w:val="00BF124B"/>
    <w:rsid w:val="00BF4482"/>
    <w:rsid w:val="00BF4740"/>
    <w:rsid w:val="00BF696F"/>
    <w:rsid w:val="00BF6F77"/>
    <w:rsid w:val="00C01113"/>
    <w:rsid w:val="00C050C5"/>
    <w:rsid w:val="00C126CB"/>
    <w:rsid w:val="00C133B3"/>
    <w:rsid w:val="00C13E1A"/>
    <w:rsid w:val="00C15D67"/>
    <w:rsid w:val="00C16A5D"/>
    <w:rsid w:val="00C214A8"/>
    <w:rsid w:val="00C26D0D"/>
    <w:rsid w:val="00C30A84"/>
    <w:rsid w:val="00C5544A"/>
    <w:rsid w:val="00C566A2"/>
    <w:rsid w:val="00C718DD"/>
    <w:rsid w:val="00C73B88"/>
    <w:rsid w:val="00C74865"/>
    <w:rsid w:val="00C77DD9"/>
    <w:rsid w:val="00C83EBC"/>
    <w:rsid w:val="00C850A6"/>
    <w:rsid w:val="00C850AB"/>
    <w:rsid w:val="00C91519"/>
    <w:rsid w:val="00C929BF"/>
    <w:rsid w:val="00C9526E"/>
    <w:rsid w:val="00C9562C"/>
    <w:rsid w:val="00C95DE3"/>
    <w:rsid w:val="00C96248"/>
    <w:rsid w:val="00CA1D02"/>
    <w:rsid w:val="00CA2982"/>
    <w:rsid w:val="00CA4E07"/>
    <w:rsid w:val="00CA7E3E"/>
    <w:rsid w:val="00CB0EAD"/>
    <w:rsid w:val="00CB7849"/>
    <w:rsid w:val="00CB7FBD"/>
    <w:rsid w:val="00CC0FF5"/>
    <w:rsid w:val="00CC2465"/>
    <w:rsid w:val="00CC7DDD"/>
    <w:rsid w:val="00CD17C4"/>
    <w:rsid w:val="00CD368C"/>
    <w:rsid w:val="00CD59D2"/>
    <w:rsid w:val="00CD6E68"/>
    <w:rsid w:val="00CD72F9"/>
    <w:rsid w:val="00CE1EB5"/>
    <w:rsid w:val="00CE4157"/>
    <w:rsid w:val="00CE42FA"/>
    <w:rsid w:val="00CE56F8"/>
    <w:rsid w:val="00CE5D02"/>
    <w:rsid w:val="00CE7FE2"/>
    <w:rsid w:val="00CF2509"/>
    <w:rsid w:val="00CF2D7C"/>
    <w:rsid w:val="00D01EB3"/>
    <w:rsid w:val="00D027FD"/>
    <w:rsid w:val="00D04B05"/>
    <w:rsid w:val="00D12150"/>
    <w:rsid w:val="00D126E0"/>
    <w:rsid w:val="00D20E1B"/>
    <w:rsid w:val="00D21331"/>
    <w:rsid w:val="00D26618"/>
    <w:rsid w:val="00D30B3A"/>
    <w:rsid w:val="00D3296B"/>
    <w:rsid w:val="00D34E0C"/>
    <w:rsid w:val="00D37280"/>
    <w:rsid w:val="00D42258"/>
    <w:rsid w:val="00D424D5"/>
    <w:rsid w:val="00D46600"/>
    <w:rsid w:val="00D473A2"/>
    <w:rsid w:val="00D476DF"/>
    <w:rsid w:val="00D55E6F"/>
    <w:rsid w:val="00D60081"/>
    <w:rsid w:val="00D6220E"/>
    <w:rsid w:val="00D62D00"/>
    <w:rsid w:val="00D63CCE"/>
    <w:rsid w:val="00D6500B"/>
    <w:rsid w:val="00D651DB"/>
    <w:rsid w:val="00D65C01"/>
    <w:rsid w:val="00D66CA5"/>
    <w:rsid w:val="00D67BBE"/>
    <w:rsid w:val="00D700AA"/>
    <w:rsid w:val="00D71907"/>
    <w:rsid w:val="00D77176"/>
    <w:rsid w:val="00D80E55"/>
    <w:rsid w:val="00D85780"/>
    <w:rsid w:val="00D85C69"/>
    <w:rsid w:val="00D85E0B"/>
    <w:rsid w:val="00D90395"/>
    <w:rsid w:val="00D90D0B"/>
    <w:rsid w:val="00D97726"/>
    <w:rsid w:val="00DA155B"/>
    <w:rsid w:val="00DA16B6"/>
    <w:rsid w:val="00DA1C16"/>
    <w:rsid w:val="00DA3987"/>
    <w:rsid w:val="00DB061C"/>
    <w:rsid w:val="00DB09E2"/>
    <w:rsid w:val="00DC19B3"/>
    <w:rsid w:val="00DC228B"/>
    <w:rsid w:val="00DC2DD6"/>
    <w:rsid w:val="00DC4EB3"/>
    <w:rsid w:val="00DD01F6"/>
    <w:rsid w:val="00DD10E4"/>
    <w:rsid w:val="00DD34F8"/>
    <w:rsid w:val="00DD3843"/>
    <w:rsid w:val="00DD50A8"/>
    <w:rsid w:val="00DD7D32"/>
    <w:rsid w:val="00DE3F9C"/>
    <w:rsid w:val="00DE5F3B"/>
    <w:rsid w:val="00DE615B"/>
    <w:rsid w:val="00DF1970"/>
    <w:rsid w:val="00DF2A43"/>
    <w:rsid w:val="00E020F5"/>
    <w:rsid w:val="00E02229"/>
    <w:rsid w:val="00E044F3"/>
    <w:rsid w:val="00E0464D"/>
    <w:rsid w:val="00E0522A"/>
    <w:rsid w:val="00E1143C"/>
    <w:rsid w:val="00E17599"/>
    <w:rsid w:val="00E20826"/>
    <w:rsid w:val="00E232AD"/>
    <w:rsid w:val="00E233B6"/>
    <w:rsid w:val="00E23449"/>
    <w:rsid w:val="00E24A16"/>
    <w:rsid w:val="00E33062"/>
    <w:rsid w:val="00E35863"/>
    <w:rsid w:val="00E409F1"/>
    <w:rsid w:val="00E40FE1"/>
    <w:rsid w:val="00E42D1D"/>
    <w:rsid w:val="00E46117"/>
    <w:rsid w:val="00E47363"/>
    <w:rsid w:val="00E517F5"/>
    <w:rsid w:val="00E56F59"/>
    <w:rsid w:val="00E6331C"/>
    <w:rsid w:val="00E642C6"/>
    <w:rsid w:val="00E658E6"/>
    <w:rsid w:val="00E7229F"/>
    <w:rsid w:val="00E7335F"/>
    <w:rsid w:val="00E73E14"/>
    <w:rsid w:val="00E74835"/>
    <w:rsid w:val="00E7546D"/>
    <w:rsid w:val="00E76853"/>
    <w:rsid w:val="00E80A18"/>
    <w:rsid w:val="00E826CC"/>
    <w:rsid w:val="00E8473C"/>
    <w:rsid w:val="00E85634"/>
    <w:rsid w:val="00E905D3"/>
    <w:rsid w:val="00E90631"/>
    <w:rsid w:val="00E91567"/>
    <w:rsid w:val="00E9227C"/>
    <w:rsid w:val="00E9486E"/>
    <w:rsid w:val="00E954B1"/>
    <w:rsid w:val="00E95622"/>
    <w:rsid w:val="00E9639D"/>
    <w:rsid w:val="00EA049C"/>
    <w:rsid w:val="00EA105E"/>
    <w:rsid w:val="00EA4FA6"/>
    <w:rsid w:val="00EA5349"/>
    <w:rsid w:val="00EA5C44"/>
    <w:rsid w:val="00EA5F10"/>
    <w:rsid w:val="00EA7F6C"/>
    <w:rsid w:val="00EB4FD3"/>
    <w:rsid w:val="00EC00C4"/>
    <w:rsid w:val="00EC39C4"/>
    <w:rsid w:val="00EC47CB"/>
    <w:rsid w:val="00EC4CC2"/>
    <w:rsid w:val="00EC4D49"/>
    <w:rsid w:val="00EC6363"/>
    <w:rsid w:val="00EC7E76"/>
    <w:rsid w:val="00ED117D"/>
    <w:rsid w:val="00ED159A"/>
    <w:rsid w:val="00ED2268"/>
    <w:rsid w:val="00ED36A5"/>
    <w:rsid w:val="00ED67F0"/>
    <w:rsid w:val="00EE12EB"/>
    <w:rsid w:val="00EE208F"/>
    <w:rsid w:val="00EE5069"/>
    <w:rsid w:val="00EE7EDF"/>
    <w:rsid w:val="00EF35E6"/>
    <w:rsid w:val="00EF5DDA"/>
    <w:rsid w:val="00EF7101"/>
    <w:rsid w:val="00F04621"/>
    <w:rsid w:val="00F067DF"/>
    <w:rsid w:val="00F0689D"/>
    <w:rsid w:val="00F118A1"/>
    <w:rsid w:val="00F13416"/>
    <w:rsid w:val="00F158AB"/>
    <w:rsid w:val="00F16213"/>
    <w:rsid w:val="00F16D64"/>
    <w:rsid w:val="00F17740"/>
    <w:rsid w:val="00F1775B"/>
    <w:rsid w:val="00F2164C"/>
    <w:rsid w:val="00F2183D"/>
    <w:rsid w:val="00F21BA6"/>
    <w:rsid w:val="00F2566E"/>
    <w:rsid w:val="00F2578C"/>
    <w:rsid w:val="00F26838"/>
    <w:rsid w:val="00F26AFA"/>
    <w:rsid w:val="00F334AD"/>
    <w:rsid w:val="00F337D4"/>
    <w:rsid w:val="00F36F6C"/>
    <w:rsid w:val="00F41F5D"/>
    <w:rsid w:val="00F42311"/>
    <w:rsid w:val="00F43240"/>
    <w:rsid w:val="00F43BAB"/>
    <w:rsid w:val="00F453BC"/>
    <w:rsid w:val="00F45543"/>
    <w:rsid w:val="00F45D8B"/>
    <w:rsid w:val="00F51CF5"/>
    <w:rsid w:val="00F51D3D"/>
    <w:rsid w:val="00F52270"/>
    <w:rsid w:val="00F53042"/>
    <w:rsid w:val="00F53247"/>
    <w:rsid w:val="00F56D15"/>
    <w:rsid w:val="00F64ADD"/>
    <w:rsid w:val="00F70B5B"/>
    <w:rsid w:val="00F71E8A"/>
    <w:rsid w:val="00F729BF"/>
    <w:rsid w:val="00F7337F"/>
    <w:rsid w:val="00F77D49"/>
    <w:rsid w:val="00F77DA5"/>
    <w:rsid w:val="00F80E1D"/>
    <w:rsid w:val="00F82E91"/>
    <w:rsid w:val="00F833D7"/>
    <w:rsid w:val="00F85B57"/>
    <w:rsid w:val="00F86962"/>
    <w:rsid w:val="00FA2361"/>
    <w:rsid w:val="00FA3DBD"/>
    <w:rsid w:val="00FA5FF3"/>
    <w:rsid w:val="00FA7930"/>
    <w:rsid w:val="00FB03C8"/>
    <w:rsid w:val="00FB2A50"/>
    <w:rsid w:val="00FB2E34"/>
    <w:rsid w:val="00FB7AF6"/>
    <w:rsid w:val="00FC1B7B"/>
    <w:rsid w:val="00FC7EC8"/>
    <w:rsid w:val="00FD1D41"/>
    <w:rsid w:val="00FD35EF"/>
    <w:rsid w:val="00FD719B"/>
    <w:rsid w:val="00FE1CFC"/>
    <w:rsid w:val="00FE2DEE"/>
    <w:rsid w:val="00FE55C8"/>
    <w:rsid w:val="00FE6EDD"/>
    <w:rsid w:val="00FF08BD"/>
    <w:rsid w:val="00FF193E"/>
    <w:rsid w:val="00FF2AEE"/>
    <w:rsid w:val="00FF628B"/>
    <w:rsid w:val="12C85603"/>
    <w:rsid w:val="25E62969"/>
    <w:rsid w:val="2B003F9D"/>
    <w:rsid w:val="3552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left="720"/>
      <w:contextualSpacing/>
    </w:pPr>
  </w:style>
  <w:style w:type="character" w:customStyle="1" w:styleId="7">
    <w:name w:val="Unresolved Mention"/>
    <w:basedOn w:val="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6602</Words>
  <Characters>37637</Characters>
  <Lines>313</Lines>
  <Paragraphs>88</Paragraphs>
  <TotalTime>0</TotalTime>
  <ScaleCrop>false</ScaleCrop>
  <LinksUpToDate>false</LinksUpToDate>
  <CharactersWithSpaces>44151</CharactersWithSpaces>
  <Application>WPS Office_10.2.0.6051_F1E327BC-269C-435d-A152-05C5408002CA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2018-04-07T09:03:00Z</dcterms:created>
  <dc:creator>Gaung</dc:creator>
  <cp:lastModifiedBy>GAUNG</cp:lastModifiedBy>
  <dcterms:modified xsi:type="dcterms:W3CDTF">2018-06-05T08:32:30Z</dcterms:modified>
  <cp:revision>1023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1033-10.2.0.6051</vt:lpwstr>
  </property>
</Properties>
</file>